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640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2F0BD3B2" w:rsidR="00245A80" w:rsidRPr="00245A80" w:rsidRDefault="00245A80" w:rsidP="003667A8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A13450">
              <w:rPr>
                <w:rFonts w:ascii="Calibri" w:hAnsi="Calibri"/>
                <w:b w:val="0"/>
                <w:sz w:val="22"/>
                <w:szCs w:val="22"/>
                <w:lang w:val="en-US"/>
              </w:rPr>
              <w:t>March 09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6AFB4F95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A13450">
              <w:rPr>
                <w:rFonts w:ascii="Calibri" w:hAnsi="Calibri"/>
                <w:b w:val="0"/>
                <w:sz w:val="22"/>
                <w:szCs w:val="22"/>
                <w:lang w:val="en-US"/>
              </w:rPr>
              <w:t>53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 1</w:t>
            </w:r>
            <w:r w:rsidR="00A13450">
              <w:rPr>
                <w:rFonts w:ascii="Calibri" w:hAnsi="Calibri"/>
                <w:b w:val="0"/>
                <w:sz w:val="22"/>
                <w:szCs w:val="22"/>
                <w:lang w:val="en-US"/>
              </w:rPr>
              <w:t>7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779E7EFB" w:rsidR="005C0091" w:rsidRPr="005C0091" w:rsidRDefault="005C0091" w:rsidP="00F225E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952E91">
              <w:rPr>
                <w:rFonts w:ascii="Calibri" w:hAnsi="Calibri"/>
                <w:b w:val="0"/>
                <w:sz w:val="22"/>
                <w:szCs w:val="22"/>
                <w:lang w:val="en-US"/>
              </w:rPr>
              <w:t>SOL GSR B1.05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4615F854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</w:t>
            </w:r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osh Ho, </w:t>
            </w:r>
            <w:proofErr w:type="spellStart"/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>Friedemann</w:t>
            </w:r>
            <w:proofErr w:type="spellEnd"/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Ang</w:t>
            </w:r>
          </w:p>
        </w:tc>
      </w:tr>
    </w:tbl>
    <w:p w14:paraId="3815285B" w14:textId="738814D0" w:rsidR="00BA42A2" w:rsidRPr="00483A32" w:rsidRDefault="00F20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Internal</w:t>
      </w:r>
      <w:r w:rsidR="00BA3485">
        <w:rPr>
          <w:rFonts w:ascii="Calibri" w:hAnsi="Calibri"/>
          <w:b/>
          <w:sz w:val="22"/>
          <w:szCs w:val="22"/>
        </w:rPr>
        <w:t xml:space="preserve">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A13450">
        <w:rPr>
          <w:rFonts w:ascii="Calibri" w:hAnsi="Calibri"/>
          <w:b/>
          <w:sz w:val="22"/>
          <w:szCs w:val="22"/>
        </w:rPr>
        <w:t>9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6062"/>
        <w:gridCol w:w="1762"/>
      </w:tblGrid>
      <w:tr w:rsidR="005C0091" w:rsidRPr="005C0091" w14:paraId="75E13E25" w14:textId="77777777" w:rsidTr="00104432">
        <w:tc>
          <w:tcPr>
            <w:tcW w:w="806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062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76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104432">
        <w:tc>
          <w:tcPr>
            <w:tcW w:w="806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62" w:type="dxa"/>
          </w:tcPr>
          <w:p w14:paraId="2FE71383" w14:textId="06DE69BB" w:rsidR="005A210F" w:rsidRPr="00104432" w:rsidRDefault="009E39A0" w:rsidP="001044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findings from EDA</w:t>
            </w:r>
          </w:p>
          <w:p w14:paraId="0C3A87BB" w14:textId="77777777" w:rsidR="00104432" w:rsidRDefault="007969C0" w:rsidP="001044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Investigated </w:t>
            </w:r>
            <w:r w:rsidR="00C006B4">
              <w:rPr>
                <w:rFonts w:ascii="Calibri" w:hAnsi="Calibri"/>
                <w:sz w:val="22"/>
                <w:szCs w:val="22"/>
              </w:rPr>
              <w:t>different predictor variable’s relationship with the target variable</w:t>
            </w:r>
          </w:p>
          <w:p w14:paraId="1C928DAD" w14:textId="69CFB389" w:rsidR="00C006B4" w:rsidRDefault="00C006B4" w:rsidP="001044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State, teacher’s experience, project subject categories were identified to affect approval rates</w:t>
            </w:r>
            <w:r w:rsidR="005F7607">
              <w:rPr>
                <w:rFonts w:ascii="Calibri" w:hAnsi="Calibri"/>
                <w:sz w:val="22"/>
                <w:szCs w:val="22"/>
              </w:rPr>
              <w:t xml:space="preserve"> on a significant level</w:t>
            </w:r>
            <w:bookmarkStart w:id="0" w:name="_GoBack"/>
            <w:bookmarkEnd w:id="0"/>
          </w:p>
          <w:p w14:paraId="48BCBFCC" w14:textId="6585FB0C" w:rsidR="00C006B4" w:rsidRPr="00104432" w:rsidRDefault="00C006B4" w:rsidP="001044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Textual</w:t>
            </w:r>
            <w:r w:rsidR="00923D01">
              <w:rPr>
                <w:rFonts w:ascii="Calibri" w:hAnsi="Calibri"/>
                <w:sz w:val="22"/>
                <w:szCs w:val="22"/>
              </w:rPr>
              <w:t xml:space="preserve"> analysis revealed the presence of several keywords that were frequently mentioned in project titles and descriptions. But more exploration </w:t>
            </w:r>
            <w:proofErr w:type="gramStart"/>
            <w:r w:rsidR="00923D01">
              <w:rPr>
                <w:rFonts w:ascii="Calibri" w:hAnsi="Calibri"/>
                <w:sz w:val="22"/>
                <w:szCs w:val="22"/>
              </w:rPr>
              <w:t>has to</w:t>
            </w:r>
            <w:proofErr w:type="gramEnd"/>
            <w:r w:rsidR="00923D01">
              <w:rPr>
                <w:rFonts w:ascii="Calibri" w:hAnsi="Calibri"/>
                <w:sz w:val="22"/>
                <w:szCs w:val="22"/>
              </w:rPr>
              <w:t xml:space="preserve"> be conducted to study their relationship with the approval rate</w:t>
            </w:r>
          </w:p>
        </w:tc>
        <w:tc>
          <w:tcPr>
            <w:tcW w:w="176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104432">
        <w:tc>
          <w:tcPr>
            <w:tcW w:w="806" w:type="dxa"/>
          </w:tcPr>
          <w:p w14:paraId="46773099" w14:textId="7317DB5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62" w:type="dxa"/>
          </w:tcPr>
          <w:p w14:paraId="20F64A74" w14:textId="4C28C8E5" w:rsidR="005A210F" w:rsidRDefault="009E39A0" w:rsidP="001044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on modelling techniques</w:t>
            </w:r>
          </w:p>
          <w:p w14:paraId="50C75073" w14:textId="144337E7" w:rsidR="00104432" w:rsidRDefault="00923D01" w:rsidP="001044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Naïve Bayes classifier could be used to predict based on multiple predictors</w:t>
            </w:r>
          </w:p>
          <w:p w14:paraId="6ADE628E" w14:textId="2409C717" w:rsidR="00104432" w:rsidRPr="00104432" w:rsidRDefault="00C5568A" w:rsidP="001044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possible methods worth exploring include logistic regression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XGBoost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trees </w:t>
            </w:r>
          </w:p>
        </w:tc>
        <w:tc>
          <w:tcPr>
            <w:tcW w:w="176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753700" w:rsidRPr="005C0091" w14:paraId="6ABF88CE" w14:textId="77777777" w:rsidTr="00104432">
        <w:tc>
          <w:tcPr>
            <w:tcW w:w="806" w:type="dxa"/>
          </w:tcPr>
          <w:p w14:paraId="08E6D68D" w14:textId="33798927" w:rsidR="00753700" w:rsidRPr="005C0091" w:rsidRDefault="005B60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62" w:type="dxa"/>
          </w:tcPr>
          <w:p w14:paraId="4A9A5D5E" w14:textId="77777777" w:rsidR="00753700" w:rsidRDefault="00753700" w:rsidP="001044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Report preparation</w:t>
            </w:r>
          </w:p>
          <w:p w14:paraId="3CFFE0A1" w14:textId="77777777" w:rsidR="00753700" w:rsidRDefault="005B60BC" w:rsidP="0075370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 the extensive EDA, we discussed which were the key findings and graphs that should be presented in the report and presentation</w:t>
            </w:r>
          </w:p>
          <w:p w14:paraId="1AC1952C" w14:textId="40F11407" w:rsidR="005B60BC" w:rsidRPr="00753700" w:rsidRDefault="005B60BC" w:rsidP="0075370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Goal was to highlight significant predictors </w:t>
            </w:r>
            <w:r w:rsidR="00537BFA">
              <w:rPr>
                <w:rFonts w:ascii="Calibri" w:hAnsi="Calibri"/>
                <w:sz w:val="22"/>
                <w:szCs w:val="22"/>
              </w:rPr>
              <w:t>as inputs for the modelling phase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</w:tcPr>
          <w:p w14:paraId="0F848A6F" w14:textId="50AD9687" w:rsidR="00753700" w:rsidRDefault="005B60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4648"/>
        <w:gridCol w:w="1397"/>
        <w:gridCol w:w="1776"/>
      </w:tblGrid>
      <w:tr w:rsidR="00430794" w:rsidRPr="005C0091" w14:paraId="151D81A9" w14:textId="77777777" w:rsidTr="00104432">
        <w:tc>
          <w:tcPr>
            <w:tcW w:w="809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8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39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776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104432">
        <w:tc>
          <w:tcPr>
            <w:tcW w:w="809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648" w:type="dxa"/>
          </w:tcPr>
          <w:p w14:paraId="3860B2A6" w14:textId="4E9EF019" w:rsidR="00430794" w:rsidRPr="005C0091" w:rsidRDefault="00430794" w:rsidP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Minutes to </w:t>
            </w:r>
            <w:r w:rsidR="00204F75">
              <w:rPr>
                <w:rFonts w:ascii="Calibri" w:hAnsi="Calibri"/>
                <w:sz w:val="22"/>
                <w:szCs w:val="22"/>
              </w:rPr>
              <w:t>shared</w:t>
            </w:r>
          </w:p>
        </w:tc>
        <w:tc>
          <w:tcPr>
            <w:tcW w:w="1397" w:type="dxa"/>
          </w:tcPr>
          <w:p w14:paraId="4CAE4041" w14:textId="613CB9E8" w:rsidR="00430794" w:rsidRPr="005C0091" w:rsidRDefault="00C006B4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10</w:t>
            </w:r>
          </w:p>
        </w:tc>
        <w:tc>
          <w:tcPr>
            <w:tcW w:w="1776" w:type="dxa"/>
          </w:tcPr>
          <w:p w14:paraId="70B26916" w14:textId="1BECB048" w:rsidR="00430794" w:rsidRPr="005C0091" w:rsidRDefault="00BA348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104432">
        <w:tc>
          <w:tcPr>
            <w:tcW w:w="809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648" w:type="dxa"/>
          </w:tcPr>
          <w:p w14:paraId="0811C5B6" w14:textId="3812496E" w:rsidR="00430794" w:rsidRPr="005C0091" w:rsidRDefault="00C006B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Finish up relevant sections in the report</w:t>
            </w:r>
            <w:r w:rsidR="003233D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14:paraId="66E16DE8" w14:textId="2670F589" w:rsidR="00430794" w:rsidRPr="005C0091" w:rsidRDefault="00104432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C006B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76" w:type="dxa"/>
          </w:tcPr>
          <w:p w14:paraId="2CDA7A43" w14:textId="4E43C746" w:rsidR="00430794" w:rsidRPr="005C0091" w:rsidRDefault="00923D01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C006B4" w:rsidRPr="005C0091" w14:paraId="49969FB4" w14:textId="77777777" w:rsidTr="00104432">
        <w:tc>
          <w:tcPr>
            <w:tcW w:w="809" w:type="dxa"/>
          </w:tcPr>
          <w:p w14:paraId="63611A4C" w14:textId="32799CF9" w:rsidR="00C006B4" w:rsidRPr="005C0091" w:rsidRDefault="00C006B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648" w:type="dxa"/>
          </w:tcPr>
          <w:p w14:paraId="1F3AC6AE" w14:textId="5548A9C9" w:rsidR="00C006B4" w:rsidRDefault="00923D01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Explore application of Naïve Bayes Theorem</w:t>
            </w:r>
          </w:p>
        </w:tc>
        <w:tc>
          <w:tcPr>
            <w:tcW w:w="1397" w:type="dxa"/>
          </w:tcPr>
          <w:p w14:paraId="2CE4B85C" w14:textId="61992AC1" w:rsidR="00C006B4" w:rsidRDefault="00923D01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11</w:t>
            </w:r>
          </w:p>
        </w:tc>
        <w:tc>
          <w:tcPr>
            <w:tcW w:w="1776" w:type="dxa"/>
          </w:tcPr>
          <w:p w14:paraId="5D816F45" w14:textId="417189DB" w:rsidR="00C006B4" w:rsidRDefault="00923D01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104432">
        <w:tc>
          <w:tcPr>
            <w:tcW w:w="809" w:type="dxa"/>
          </w:tcPr>
          <w:p w14:paraId="5D2F6A0D" w14:textId="3CFB4A5C" w:rsidR="00430794" w:rsidRPr="005C0091" w:rsidRDefault="00C006B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648" w:type="dxa"/>
          </w:tcPr>
          <w:p w14:paraId="7F04645D" w14:textId="55153877" w:rsidR="00430794" w:rsidRPr="005C0091" w:rsidRDefault="00C006B4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 more about application of logistic regression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XGBoost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trees</w:t>
            </w:r>
          </w:p>
        </w:tc>
        <w:tc>
          <w:tcPr>
            <w:tcW w:w="1397" w:type="dxa"/>
          </w:tcPr>
          <w:p w14:paraId="15A5424A" w14:textId="405B03BB" w:rsidR="00430794" w:rsidRPr="005C0091" w:rsidRDefault="00104432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C006B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76" w:type="dxa"/>
          </w:tcPr>
          <w:p w14:paraId="668B3659" w14:textId="68388CB1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Friedemann</w:t>
            </w:r>
            <w:proofErr w:type="spellEnd"/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2A"/>
    <w:multiLevelType w:val="hybridMultilevel"/>
    <w:tmpl w:val="D32018B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FC5E00"/>
    <w:multiLevelType w:val="hybridMultilevel"/>
    <w:tmpl w:val="EFD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5C39"/>
    <w:multiLevelType w:val="hybridMultilevel"/>
    <w:tmpl w:val="7D5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403B"/>
    <w:multiLevelType w:val="hybridMultilevel"/>
    <w:tmpl w:val="916EB9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5F3507"/>
    <w:multiLevelType w:val="hybridMultilevel"/>
    <w:tmpl w:val="787CC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A6630B"/>
    <w:multiLevelType w:val="hybridMultilevel"/>
    <w:tmpl w:val="CEE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4946"/>
    <w:multiLevelType w:val="hybridMultilevel"/>
    <w:tmpl w:val="70AA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233F"/>
    <w:multiLevelType w:val="hybridMultilevel"/>
    <w:tmpl w:val="A23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859C8"/>
    <w:multiLevelType w:val="hybridMultilevel"/>
    <w:tmpl w:val="42E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1"/>
    <w:rsid w:val="00104432"/>
    <w:rsid w:val="00204F75"/>
    <w:rsid w:val="00245A80"/>
    <w:rsid w:val="003233D0"/>
    <w:rsid w:val="003667A8"/>
    <w:rsid w:val="003C14C9"/>
    <w:rsid w:val="00430794"/>
    <w:rsid w:val="00483A32"/>
    <w:rsid w:val="00537BFA"/>
    <w:rsid w:val="005A210F"/>
    <w:rsid w:val="005B60BC"/>
    <w:rsid w:val="005C0091"/>
    <w:rsid w:val="005D60C7"/>
    <w:rsid w:val="005E5B49"/>
    <w:rsid w:val="005F7607"/>
    <w:rsid w:val="00731448"/>
    <w:rsid w:val="00753700"/>
    <w:rsid w:val="007969C0"/>
    <w:rsid w:val="007B0008"/>
    <w:rsid w:val="00923D01"/>
    <w:rsid w:val="009253B5"/>
    <w:rsid w:val="00952BBB"/>
    <w:rsid w:val="00952E91"/>
    <w:rsid w:val="00953E67"/>
    <w:rsid w:val="009919A3"/>
    <w:rsid w:val="009E39A0"/>
    <w:rsid w:val="00A13450"/>
    <w:rsid w:val="00A33FA8"/>
    <w:rsid w:val="00B23801"/>
    <w:rsid w:val="00BA3485"/>
    <w:rsid w:val="00BA42A2"/>
    <w:rsid w:val="00C006B4"/>
    <w:rsid w:val="00C5568A"/>
    <w:rsid w:val="00E61DE6"/>
    <w:rsid w:val="00F20B79"/>
    <w:rsid w:val="00F225E0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  <w15:docId w15:val="{695D196A-A499-4FD4-985E-9A64CA8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xzho.2014</cp:lastModifiedBy>
  <cp:revision>6</cp:revision>
  <dcterms:created xsi:type="dcterms:W3CDTF">2018-03-11T01:37:00Z</dcterms:created>
  <dcterms:modified xsi:type="dcterms:W3CDTF">2018-03-11T04:54:00Z</dcterms:modified>
</cp:coreProperties>
</file>