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4135" w14:textId="77777777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30"/>
          <w:szCs w:val="30"/>
          <w:lang w:val="en-US"/>
        </w:rPr>
      </w:pPr>
      <w:r w:rsidRPr="00411C27">
        <w:rPr>
          <w:rFonts w:ascii="Arial" w:hAnsi="Arial" w:cs="Arial"/>
          <w:sz w:val="30"/>
          <w:szCs w:val="30"/>
          <w:lang w:val="en-US"/>
        </w:rPr>
        <w:t>Meeting Minutes (Group Discussion #1)</w:t>
      </w:r>
    </w:p>
    <w:p w14:paraId="277A40D5" w14:textId="77777777" w:rsidR="00BD4371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Date:</w:t>
      </w:r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 05 July 2017</w:t>
      </w:r>
    </w:p>
    <w:p w14:paraId="1815F629" w14:textId="77777777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Venue: Singapore Management University</w:t>
      </w:r>
    </w:p>
    <w:p w14:paraId="1D914103" w14:textId="77777777" w:rsidR="005F4802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Participants:</w:t>
      </w:r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 Aaron </w:t>
      </w:r>
      <w:proofErr w:type="spellStart"/>
      <w:r w:rsidR="00411C27" w:rsidRPr="00411C27">
        <w:rPr>
          <w:rFonts w:ascii="Arial" w:hAnsi="Arial" w:cs="Arial"/>
          <w:sz w:val="22"/>
          <w:szCs w:val="22"/>
          <w:lang w:val="en-US"/>
        </w:rPr>
        <w:t>Poh</w:t>
      </w:r>
      <w:proofErr w:type="spellEnd"/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1C27" w:rsidRPr="00411C27">
        <w:rPr>
          <w:rFonts w:ascii="Arial" w:hAnsi="Arial" w:cs="Arial"/>
          <w:sz w:val="22"/>
          <w:szCs w:val="22"/>
          <w:lang w:val="en-US"/>
        </w:rPr>
        <w:t>Weixin</w:t>
      </w:r>
      <w:proofErr w:type="spellEnd"/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, Leong Jia Min, </w:t>
      </w:r>
      <w:proofErr w:type="spellStart"/>
      <w:r w:rsidR="00411C27" w:rsidRPr="00411C27">
        <w:rPr>
          <w:rFonts w:ascii="Arial" w:hAnsi="Arial" w:cs="Arial"/>
          <w:sz w:val="22"/>
          <w:szCs w:val="22"/>
          <w:lang w:val="en-US"/>
        </w:rPr>
        <w:t>Shereen</w:t>
      </w:r>
      <w:proofErr w:type="spellEnd"/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1C27" w:rsidRPr="00411C27">
        <w:rPr>
          <w:rFonts w:ascii="Arial" w:hAnsi="Arial" w:cs="Arial"/>
          <w:sz w:val="22"/>
          <w:szCs w:val="22"/>
          <w:lang w:val="en-US"/>
        </w:rPr>
        <w:t>Teo</w:t>
      </w:r>
      <w:proofErr w:type="spellEnd"/>
      <w:r w:rsidR="00411C27" w:rsidRPr="00411C27">
        <w:rPr>
          <w:rFonts w:ascii="Arial" w:hAnsi="Arial" w:cs="Arial"/>
          <w:sz w:val="22"/>
          <w:szCs w:val="22"/>
          <w:lang w:val="en-US"/>
        </w:rPr>
        <w:t xml:space="preserve"> Boon </w:t>
      </w:r>
      <w:proofErr w:type="spellStart"/>
      <w:r w:rsidR="00411C27" w:rsidRPr="00411C27">
        <w:rPr>
          <w:rFonts w:ascii="Arial" w:hAnsi="Arial" w:cs="Arial"/>
          <w:sz w:val="22"/>
          <w:szCs w:val="22"/>
          <w:lang w:val="en-US"/>
        </w:rPr>
        <w:t>Khee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6109"/>
        <w:gridCol w:w="1354"/>
        <w:gridCol w:w="1197"/>
      </w:tblGrid>
      <w:tr w:rsidR="00411C27" w:rsidRPr="005F4802" w14:paraId="1D042BBF" w14:textId="77777777" w:rsidTr="00CA6AE1">
        <w:trPr>
          <w:trHeight w:val="619"/>
        </w:trPr>
        <w:tc>
          <w:tcPr>
            <w:tcW w:w="279" w:type="dxa"/>
            <w:shd w:val="clear" w:color="auto" w:fill="FFF2CC" w:themeFill="accent4" w:themeFillTint="33"/>
            <w:vAlign w:val="bottom"/>
          </w:tcPr>
          <w:p w14:paraId="6877D9D1" w14:textId="77777777" w:rsidR="00411C27" w:rsidRPr="00411C27" w:rsidRDefault="00411C27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6166" w:type="dxa"/>
            <w:shd w:val="clear" w:color="auto" w:fill="FFF2CC" w:themeFill="accent4" w:themeFillTint="33"/>
            <w:vAlign w:val="bottom"/>
          </w:tcPr>
          <w:p w14:paraId="58EC1CF0" w14:textId="77777777" w:rsidR="00411C27" w:rsidRPr="00411C27" w:rsidRDefault="00411C27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Content</w:t>
            </w:r>
          </w:p>
        </w:tc>
        <w:tc>
          <w:tcPr>
            <w:tcW w:w="1360" w:type="dxa"/>
            <w:shd w:val="clear" w:color="auto" w:fill="FFF2CC" w:themeFill="accent4" w:themeFillTint="33"/>
            <w:vAlign w:val="bottom"/>
          </w:tcPr>
          <w:p w14:paraId="751F003F" w14:textId="77777777" w:rsidR="00411C27" w:rsidRPr="00411C27" w:rsidRDefault="00411C27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1205" w:type="dxa"/>
            <w:shd w:val="clear" w:color="auto" w:fill="FFF2CC" w:themeFill="accent4" w:themeFillTint="33"/>
            <w:vAlign w:val="bottom"/>
          </w:tcPr>
          <w:p w14:paraId="415961A7" w14:textId="77777777" w:rsidR="00411C27" w:rsidRPr="00411C27" w:rsidRDefault="00411C27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Action Taken</w:t>
            </w:r>
          </w:p>
        </w:tc>
      </w:tr>
      <w:tr w:rsidR="00411C27" w:rsidRPr="005F4802" w14:paraId="3EF7E0F9" w14:textId="77777777" w:rsidTr="00CA6AE1">
        <w:tc>
          <w:tcPr>
            <w:tcW w:w="279" w:type="dxa"/>
          </w:tcPr>
          <w:p w14:paraId="440EFD54" w14:textId="77777777" w:rsidR="00411C27" w:rsidRPr="005F4802" w:rsidRDefault="00CA6AE1" w:rsidP="00411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6" w:type="dxa"/>
          </w:tcPr>
          <w:p w14:paraId="0E19492C" w14:textId="77777777" w:rsidR="00411C27" w:rsidRPr="005F4802" w:rsidRDefault="00411C27" w:rsidP="00411C27">
            <w:pPr>
              <w:rPr>
                <w:rFonts w:ascii="Arial" w:hAnsi="Arial" w:cs="Arial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Currently analysis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done</w:t>
            </w: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very descriptive, generally looking at attendance, participation rates, interest in arts, number of artists featured recommendation </w:t>
            </w:r>
          </w:p>
          <w:p w14:paraId="7B18E5A9" w14:textId="77777777" w:rsidR="00411C27" w:rsidRPr="005F4802" w:rsidRDefault="00411C27" w:rsidP="00411C2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Build a tool that enables greater granularity so as to identify key drivers to participations or contributors to the arts scene → key profiles of those who are active in what scene and what period → EG. if participation is increasing, where is this increase coming from?</w:t>
            </w:r>
          </w:p>
          <w:p w14:paraId="052F8BF2" w14:textId="77777777" w:rsidR="00411C27" w:rsidRPr="005F4802" w:rsidRDefault="00411C27" w:rsidP="00411C2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Create a tool/visualisation that enables NAC to track purchase funnel → understand where individuals are as </w:t>
            </w:r>
            <w:proofErr w:type="spellStart"/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trialists</w:t>
            </w:r>
            <w:proofErr w:type="spellEnd"/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/advocates/promoters of Singapore Arts scene and what attributes drive this engagement.</w:t>
            </w:r>
          </w:p>
          <w:p w14:paraId="0C1866A9" w14:textId="77777777" w:rsidR="00411C27" w:rsidRPr="00411C27" w:rsidRDefault="00411C27" w:rsidP="00411C2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Benchmarking NAC events against other stat boards to identify differentiation of value proposition  </w:t>
            </w:r>
          </w:p>
        </w:tc>
        <w:tc>
          <w:tcPr>
            <w:tcW w:w="1360" w:type="dxa"/>
          </w:tcPr>
          <w:p w14:paraId="1F270729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 on what kind of solutions NAC might be interested in</w:t>
            </w:r>
          </w:p>
        </w:tc>
        <w:tc>
          <w:tcPr>
            <w:tcW w:w="1205" w:type="dxa"/>
          </w:tcPr>
          <w:p w14:paraId="374A785A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11C27" w:rsidRPr="005F4802" w14:paraId="1D1C458B" w14:textId="77777777" w:rsidTr="00CA6AE1">
        <w:tc>
          <w:tcPr>
            <w:tcW w:w="279" w:type="dxa"/>
          </w:tcPr>
          <w:p w14:paraId="467E86D9" w14:textId="77777777" w:rsidR="00411C27" w:rsidRPr="00411C27" w:rsidRDefault="00CA6AE1" w:rsidP="00411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6" w:type="dxa"/>
          </w:tcPr>
          <w:p w14:paraId="7F081D3A" w14:textId="77777777" w:rsidR="00411C27" w:rsidRPr="005F4802" w:rsidRDefault="00411C27" w:rsidP="00411C27">
            <w:pPr>
              <w:rPr>
                <w:rFonts w:ascii="Arial" w:hAnsi="Arial" w:cs="Arial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Analysis concepts (generic)</w:t>
            </w:r>
          </w:p>
          <w:p w14:paraId="75563793" w14:textId="77777777" w:rsidR="00411C27" w:rsidRPr="005F4802" w:rsidRDefault="00411C27" w:rsidP="00411C2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Identify what is increasing faster than you, what is increasing and yet you are declining, what you are declining faster in.</w:t>
            </w:r>
          </w:p>
          <w:p w14:paraId="079EE5D6" w14:textId="77777777" w:rsidR="00411C27" w:rsidRPr="005F4802" w:rsidRDefault="00411C27" w:rsidP="00411C2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Identify </w:t>
            </w:r>
            <w:r w:rsidRPr="005F48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opportunities</w:t>
            </w: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reverse decline on deadweight brands/categories, leverage on fast growing brands/categories that is driving growth in other competitors. (benchmarking against other competitors)</w:t>
            </w:r>
          </w:p>
          <w:p w14:paraId="75E3F7B7" w14:textId="77777777" w:rsidR="00411C27" w:rsidRPr="005F4802" w:rsidRDefault="00411C27" w:rsidP="00411C2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is driving overall growth?</w:t>
            </w: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 → popular brands, growing categories due to national trends, pricing strategies, promotional efforts, distribution/accessibility</w:t>
            </w:r>
          </w:p>
          <w:p w14:paraId="45A3116E" w14:textId="77777777" w:rsidR="00411C27" w:rsidRPr="005F4802" w:rsidRDefault="00411C27" w:rsidP="00411C2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Purchase funnel: </w:t>
            </w: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awareness/trial, familiarity, opinion, consideration </w:t>
            </w:r>
            <w:proofErr w:type="gramStart"/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set,  purchase</w:t>
            </w:r>
            <w:proofErr w:type="gramEnd"/>
          </w:p>
          <w:p w14:paraId="1BE07CCF" w14:textId="77777777" w:rsidR="00411C27" w:rsidRPr="005F4802" w:rsidRDefault="00411C27" w:rsidP="00411C2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8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drives customer satisfaction/loyalty</w:t>
            </w: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 xml:space="preserve"> → correlation of attributes (performance and relative importance) to increased customer satisfaction/experience</w:t>
            </w:r>
          </w:p>
          <w:p w14:paraId="0E20CE7E" w14:textId="77777777" w:rsidR="00411C27" w:rsidRPr="00411C27" w:rsidRDefault="00411C27" w:rsidP="00411C2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4802">
              <w:rPr>
                <w:rFonts w:ascii="Arial" w:hAnsi="Arial" w:cs="Arial"/>
                <w:color w:val="000000"/>
                <w:sz w:val="22"/>
                <w:szCs w:val="22"/>
              </w:rPr>
              <w:t>Customer loyalty: identify future purchase, future advocacy, share-of-wallet numbers to indicate future growth.</w:t>
            </w:r>
          </w:p>
        </w:tc>
        <w:tc>
          <w:tcPr>
            <w:tcW w:w="1360" w:type="dxa"/>
          </w:tcPr>
          <w:p w14:paraId="1B9E8195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 on what kind of business issues NAC would want to resolve</w:t>
            </w:r>
          </w:p>
        </w:tc>
        <w:tc>
          <w:tcPr>
            <w:tcW w:w="1205" w:type="dxa"/>
          </w:tcPr>
          <w:p w14:paraId="2ADDE162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11C27" w:rsidRPr="005F4802" w14:paraId="44110E81" w14:textId="77777777" w:rsidTr="00CA6AE1">
        <w:tc>
          <w:tcPr>
            <w:tcW w:w="279" w:type="dxa"/>
          </w:tcPr>
          <w:p w14:paraId="60A4B046" w14:textId="77777777" w:rsidR="00411C27" w:rsidRPr="00411C27" w:rsidRDefault="00CA6AE1" w:rsidP="00411C27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6166" w:type="dxa"/>
          </w:tcPr>
          <w:p w14:paraId="290B51E9" w14:textId="77777777" w:rsidR="00411C27" w:rsidRPr="00411C27" w:rsidRDefault="00411C27" w:rsidP="00411C27">
            <w:p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Data Sources available</w:t>
            </w:r>
          </w:p>
          <w:p w14:paraId="32522160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National Population Survey on the Arts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 ~2041 respondents, held biennially since 2009</w:t>
            </w:r>
          </w:p>
          <w:p w14:paraId="13D72F87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Noise Singapore: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10 </w:t>
            </w:r>
            <w:proofErr w:type="gramStart"/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years</w:t>
            </w:r>
            <w:proofErr w:type="gramEnd"/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statistics on attendees/participants, features/showcases/submissions, recommendations</w:t>
            </w:r>
          </w:p>
          <w:p w14:paraId="414704BE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Arts </w:t>
            </w:r>
            <w:proofErr w:type="gramStart"/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In</w:t>
            </w:r>
            <w:proofErr w:type="gramEnd"/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your Neighbourhood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(489 respondents in 2015, 467 in 2016): satisfaction/enjoyment/engagement levels, growth 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over the years in </w:t>
            </w:r>
            <w:proofErr w:type="spellStart"/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avg</w:t>
            </w:r>
            <w:proofErr w:type="spellEnd"/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no. of programmes, no. of attendees, percentage of first-time attendees</w:t>
            </w:r>
          </w:p>
          <w:p w14:paraId="5C8DB76D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Silver Arts 2015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(851 respondents): growth over years on no. of art programmes, satisfaction levels</w:t>
            </w:r>
          </w:p>
          <w:p w14:paraId="43C2B899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2015 National Reading and Writing Survey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(1015 Singaporeans and PR): prevalence of reading habits </w:t>
            </w:r>
          </w:p>
          <w:p w14:paraId="2030A3EB" w14:textId="77777777" w:rsidR="00411C27" w:rsidRPr="005F4802" w:rsidRDefault="00411C27" w:rsidP="00411C27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Under 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</w:rPr>
              <w:t>Arts Statistics and Studies</w:t>
            </w: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by NAC:</w:t>
            </w:r>
          </w:p>
          <w:p w14:paraId="050D3C27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Singapore Cultural Statistics</w:t>
            </w:r>
          </w:p>
          <w:p w14:paraId="67C9461C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Statistical Round-up of the Arts: last updated 2008</w:t>
            </w:r>
          </w:p>
          <w:p w14:paraId="2F9384E0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Community and Place: NIL</w:t>
            </w:r>
          </w:p>
          <w:p w14:paraId="495D6402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Participation and Attendance: Population survey on the arts, National literary reading and writing survey</w:t>
            </w:r>
          </w:p>
          <w:p w14:paraId="1ED28A61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Children, Young People and Seniors: Youth Arts Qualitative Study 2011</w:t>
            </w:r>
          </w:p>
          <w:p w14:paraId="0E136310" w14:textId="77777777" w:rsidR="00411C27" w:rsidRPr="005F4802" w:rsidRDefault="00411C27" w:rsidP="00411C27">
            <w:pPr>
              <w:numPr>
                <w:ilvl w:val="1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F480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Giving and Support: Looks at Arts Philanthropy → Individual Giving, Corporate Giving, Employment Study</w:t>
            </w:r>
          </w:p>
          <w:p w14:paraId="18CC1CA7" w14:textId="77777777" w:rsidR="00411C27" w:rsidRPr="00411C27" w:rsidRDefault="00411C27" w:rsidP="00411C2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</w:tcPr>
          <w:p w14:paraId="69740337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Discussion on potential data sources</w:t>
            </w:r>
          </w:p>
        </w:tc>
        <w:tc>
          <w:tcPr>
            <w:tcW w:w="1205" w:type="dxa"/>
          </w:tcPr>
          <w:p w14:paraId="22AC38F0" w14:textId="77777777" w:rsidR="00411C27" w:rsidRPr="005F4802" w:rsidRDefault="00411C27" w:rsidP="00A531A0">
            <w:pPr>
              <w:tabs>
                <w:tab w:val="left" w:pos="14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14:paraId="5D6630FF" w14:textId="77777777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30"/>
          <w:szCs w:val="30"/>
          <w:u w:val="single"/>
          <w:lang w:val="en-US"/>
        </w:rPr>
      </w:pPr>
    </w:p>
    <w:p w14:paraId="34728114" w14:textId="77777777" w:rsidR="00411C27" w:rsidRDefault="00411C27">
      <w:pPr>
        <w:rPr>
          <w:rFonts w:ascii="Arial" w:hAnsi="Arial" w:cs="Arial"/>
          <w:sz w:val="30"/>
          <w:szCs w:val="30"/>
          <w:u w:val="single"/>
          <w:lang w:val="en-US"/>
        </w:rPr>
      </w:pPr>
      <w:r>
        <w:rPr>
          <w:rFonts w:ascii="Arial" w:hAnsi="Arial" w:cs="Arial"/>
          <w:sz w:val="30"/>
          <w:szCs w:val="30"/>
          <w:u w:val="single"/>
          <w:lang w:val="en-US"/>
        </w:rPr>
        <w:br w:type="page"/>
      </w:r>
    </w:p>
    <w:p w14:paraId="27CE98F6" w14:textId="77777777" w:rsidR="00411C27" w:rsidRPr="00411C27" w:rsidRDefault="00411C27" w:rsidP="00A531A0">
      <w:pPr>
        <w:tabs>
          <w:tab w:val="left" w:pos="1440"/>
        </w:tabs>
        <w:rPr>
          <w:rFonts w:ascii="Arial" w:hAnsi="Arial" w:cs="Arial"/>
          <w:b/>
          <w:sz w:val="24"/>
          <w:szCs w:val="24"/>
          <w:lang w:val="en-US"/>
        </w:rPr>
      </w:pPr>
      <w:r w:rsidRPr="00411C27">
        <w:rPr>
          <w:rFonts w:ascii="Arial" w:hAnsi="Arial" w:cs="Arial"/>
          <w:b/>
          <w:sz w:val="24"/>
          <w:szCs w:val="24"/>
          <w:lang w:val="en-US"/>
        </w:rPr>
        <w:t>Secondary Research Done</w:t>
      </w:r>
    </w:p>
    <w:p w14:paraId="3BCECDCA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000000"/>
          <w:sz w:val="22"/>
          <w:szCs w:val="22"/>
        </w:rPr>
        <w:t>Vision:</w:t>
      </w:r>
      <w:r w:rsidRPr="005F4802">
        <w:rPr>
          <w:rFonts w:ascii="Arial" w:hAnsi="Arial" w:cs="Arial"/>
          <w:color w:val="000000"/>
          <w:sz w:val="22"/>
          <w:szCs w:val="22"/>
        </w:rPr>
        <w:t xml:space="preserve"> To develop Singapore as a </w:t>
      </w: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distinctive global city for the arts.</w:t>
      </w:r>
    </w:p>
    <w:p w14:paraId="07B98F9C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Mission: </w:t>
      </w: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To nurture the arts and make it an integral part of the lives of the people of Singapore.</w:t>
      </w:r>
    </w:p>
    <w:p w14:paraId="74C70340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11D49534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Strategic thrusts: </w:t>
      </w:r>
    </w:p>
    <w:p w14:paraId="236CB58C" w14:textId="77777777" w:rsidR="00411C27" w:rsidRPr="005F4802" w:rsidRDefault="00411C27" w:rsidP="00411C27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Promoting the arts for self-expression, learning, reflection and community-building.</w:t>
      </w:r>
    </w:p>
    <w:p w14:paraId="1C7D848B" w14:textId="77777777" w:rsidR="00411C27" w:rsidRPr="005F4802" w:rsidRDefault="00411C27" w:rsidP="00411C27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Shaping our cultural development through the arts.</w:t>
      </w:r>
    </w:p>
    <w:p w14:paraId="16528351" w14:textId="77777777" w:rsidR="00411C27" w:rsidRPr="005F4802" w:rsidRDefault="00411C27" w:rsidP="00411C27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Developing a sustainable environment that enables the arts to entertain, enrich and inspire.</w:t>
      </w:r>
    </w:p>
    <w:p w14:paraId="76848474" w14:textId="77777777" w:rsidR="00411C27" w:rsidRPr="005F4802" w:rsidRDefault="00411C27" w:rsidP="00411C27">
      <w:pPr>
        <w:shd w:val="clear" w:color="auto" w:fill="FFFFFF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54DA41A9" w14:textId="77777777" w:rsidR="00411C27" w:rsidRPr="005F4802" w:rsidRDefault="00411C27" w:rsidP="00411C27">
      <w:pPr>
        <w:shd w:val="clear" w:color="auto" w:fill="FFFFFF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‘Competitors’</w:t>
      </w:r>
    </w:p>
    <w:p w14:paraId="5415E369" w14:textId="77777777" w:rsidR="00411C27" w:rsidRPr="005F4802" w:rsidRDefault="00411C27" w:rsidP="00411C27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Ministry of culture, Community and Youth</w:t>
      </w:r>
    </w:p>
    <w:p w14:paraId="66C20603" w14:textId="77777777" w:rsidR="00411C27" w:rsidRPr="005F4802" w:rsidRDefault="00411C27" w:rsidP="00411C27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National Library Board</w:t>
      </w:r>
    </w:p>
    <w:p w14:paraId="3C6D9D3F" w14:textId="77777777" w:rsidR="00411C27" w:rsidRPr="005F4802" w:rsidRDefault="00411C27" w:rsidP="00411C27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National Heritage Board</w:t>
      </w:r>
    </w:p>
    <w:p w14:paraId="543652E7" w14:textId="77777777" w:rsidR="00411C27" w:rsidRPr="005F4802" w:rsidRDefault="00411C27" w:rsidP="00411C27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People’s Association</w:t>
      </w:r>
    </w:p>
    <w:p w14:paraId="431739AA" w14:textId="77777777" w:rsidR="00411C27" w:rsidRPr="005F4802" w:rsidRDefault="00411C27" w:rsidP="00411C27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Singapore Tourism Board</w:t>
      </w:r>
    </w:p>
    <w:p w14:paraId="6D0C0F1D" w14:textId="77777777" w:rsidR="00411C27" w:rsidRPr="005F4802" w:rsidRDefault="00411C27" w:rsidP="00411C27">
      <w:pPr>
        <w:shd w:val="clear" w:color="auto" w:fill="FFFFFF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sz w:val="22"/>
          <w:szCs w:val="22"/>
        </w:rPr>
        <w:t> </w:t>
      </w:r>
    </w:p>
    <w:p w14:paraId="02ACBC02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5F4802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Materials available:</w:t>
      </w:r>
    </w:p>
    <w:p w14:paraId="37B53E91" w14:textId="77777777" w:rsidR="00411C27" w:rsidRPr="005F4802" w:rsidRDefault="00411C27" w:rsidP="00411C27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Annual Report (Y2015/2016)</w:t>
      </w:r>
    </w:p>
    <w:p w14:paraId="3F2E101A" w14:textId="77777777" w:rsidR="00411C27" w:rsidRPr="005F4802" w:rsidRDefault="00411C27" w:rsidP="00411C27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Arts and Culture Strategic Review (ACSR)</w:t>
      </w:r>
    </w:p>
    <w:p w14:paraId="652C949A" w14:textId="77777777" w:rsidR="00411C27" w:rsidRPr="005F4802" w:rsidRDefault="00411C27" w:rsidP="00411C27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Arts Master Plan</w:t>
      </w:r>
    </w:p>
    <w:p w14:paraId="7A4DCC02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1598506E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NAC website/Annual Report </w:t>
      </w:r>
    </w:p>
    <w:p w14:paraId="0F524E6D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Strategic Directions:</w:t>
      </w:r>
    </w:p>
    <w:p w14:paraId="6397637E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Promote</w:t>
      </w: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the arts for expression, learning, reflection and community-building</w:t>
      </w:r>
    </w:p>
    <w:p w14:paraId="41D0C5F2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Shape</w:t>
      </w: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our cultural development through the arts</w:t>
      </w:r>
    </w:p>
    <w:p w14:paraId="0146A158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Grow</w:t>
      </w: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sustainable environment that enables artistic creations to entertain, enrich and inspire</w:t>
      </w:r>
    </w:p>
    <w:p w14:paraId="0DA86AF0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Singapore Arts Scene: </w:t>
      </w:r>
    </w:p>
    <w:p w14:paraId="111B34FC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Visual Arts</w:t>
      </w:r>
    </w:p>
    <w:p w14:paraId="5BCC6493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Literary Arts</w:t>
      </w:r>
    </w:p>
    <w:p w14:paraId="4B3B465D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Music</w:t>
      </w:r>
    </w:p>
    <w:p w14:paraId="3C072F9B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Dance</w:t>
      </w:r>
    </w:p>
    <w:p w14:paraId="7ABA34A2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Theatre</w:t>
      </w:r>
    </w:p>
    <w:p w14:paraId="54821732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Traditional Arts</w:t>
      </w:r>
    </w:p>
    <w:p w14:paraId="1DC0CC2E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Going international: Singapore in Venice</w:t>
      </w:r>
    </w:p>
    <w:p w14:paraId="0865D396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Championing Arts: Advocacy, Giving to the Arts (Philanthropy)</w:t>
      </w:r>
    </w:p>
    <w:p w14:paraId="4572D0EC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Engaging the Public: Community, Youth Arts, Arts Education, Capability Development</w:t>
      </w:r>
    </w:p>
    <w:p w14:paraId="60C5C6BF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Supporting the Industry: Funding, Research, Arts Spaces</w:t>
      </w:r>
    </w:p>
    <w:p w14:paraId="1E668580" w14:textId="77777777" w:rsidR="00411C27" w:rsidRPr="005F4802" w:rsidRDefault="00411C27" w:rsidP="00411C27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NAC Events:</w:t>
      </w:r>
    </w:p>
    <w:p w14:paraId="5E1C397E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Singapore Writers Festival</w:t>
      </w:r>
    </w:p>
    <w:p w14:paraId="7BD6873D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Noise Singapore</w:t>
      </w:r>
    </w:p>
    <w:p w14:paraId="700F21A6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Golden Point Award: Singapore’s premier creative writing competition</w:t>
      </w:r>
    </w:p>
    <w:p w14:paraId="0F8ACC20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Singapore Art Week: annual celebration of visual arts</w:t>
      </w:r>
    </w:p>
    <w:p w14:paraId="5AC5B3FA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Music Competitions</w:t>
      </w:r>
    </w:p>
    <w:p w14:paraId="6D965B2E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Got to Move</w:t>
      </w:r>
    </w:p>
    <w:p w14:paraId="3C34D9FD" w14:textId="77777777" w:rsidR="00411C27" w:rsidRPr="005F4802" w:rsidRDefault="00411C27" w:rsidP="00411C27">
      <w:pPr>
        <w:numPr>
          <w:ilvl w:val="1"/>
          <w:numId w:val="7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Writer-in-the-Gardens Residency Programme</w:t>
      </w:r>
    </w:p>
    <w:p w14:paraId="529B9680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35E9934D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Arts and Culture Strategic Review:</w:t>
      </w:r>
    </w:p>
    <w:p w14:paraId="5CC4D2E7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05DBD145" w14:textId="77777777" w:rsidR="00411C27" w:rsidRPr="005F4802" w:rsidRDefault="00411C27" w:rsidP="00411C27">
      <w:pPr>
        <w:numPr>
          <w:ilvl w:val="0"/>
          <w:numId w:val="8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Illustrates vision for Arts and culture scene in Singapore by 2025 with a clear definition of where that is. </w:t>
      </w:r>
    </w:p>
    <w:p w14:paraId="5CF80660" w14:textId="77777777" w:rsidR="00411C27" w:rsidRPr="005F4802" w:rsidRDefault="00411C27" w:rsidP="00411C27">
      <w:pPr>
        <w:numPr>
          <w:ilvl w:val="0"/>
          <w:numId w:val="8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Identifies fundamentals to change/problem statements to tackle in order to achieve vision. EG. Changing perceptions, overcoming inertia, creating space</w:t>
      </w:r>
    </w:p>
    <w:p w14:paraId="32198790" w14:textId="77777777" w:rsidR="00411C27" w:rsidRPr="005F4802" w:rsidRDefault="00411C27" w:rsidP="00411C27">
      <w:pPr>
        <w:numPr>
          <w:ilvl w:val="0"/>
          <w:numId w:val="8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States strategic directions - engagement and excellence → each with their own strategies. </w:t>
      </w:r>
    </w:p>
    <w:p w14:paraId="18726E5D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A) Bring arts and culture to everyone, everywhere, every day </w:t>
      </w:r>
    </w:p>
    <w:p w14:paraId="7900B176" w14:textId="77777777" w:rsidR="00411C27" w:rsidRPr="005F4802" w:rsidRDefault="00411C27" w:rsidP="00411C27">
      <w:pPr>
        <w:spacing w:after="0" w:line="24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 Reach new audiences </w:t>
      </w:r>
    </w:p>
    <w:p w14:paraId="2AA4E73E" w14:textId="77777777" w:rsidR="00411C27" w:rsidRPr="005F4802" w:rsidRDefault="00411C27" w:rsidP="00411C27">
      <w:pPr>
        <w:spacing w:after="0" w:line="24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II Sustain and deepen lifelong engagement ‘</w:t>
      </w:r>
    </w:p>
    <w:p w14:paraId="1347F43E" w14:textId="77777777" w:rsidR="00411C27" w:rsidRPr="005F4802" w:rsidRDefault="00411C27" w:rsidP="00411C27">
      <w:pPr>
        <w:spacing w:after="0" w:line="24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III Galvanise a national movement </w:t>
      </w:r>
    </w:p>
    <w:p w14:paraId="4A71A346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0491897A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B) Build capabilities to achieve excellence </w:t>
      </w:r>
    </w:p>
    <w:p w14:paraId="5E53C703" w14:textId="77777777" w:rsidR="00411C27" w:rsidRPr="005F4802" w:rsidRDefault="00411C27" w:rsidP="00411C27">
      <w:pPr>
        <w:spacing w:after="0" w:line="24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IV Develop cultural institutions, companies and offerings </w:t>
      </w:r>
    </w:p>
    <w:p w14:paraId="4F06B90C" w14:textId="77777777" w:rsidR="00411C27" w:rsidRPr="005F4802" w:rsidRDefault="00411C27" w:rsidP="00411C27">
      <w:p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 Invest in talent, support professional aspirations </w:t>
      </w:r>
    </w:p>
    <w:p w14:paraId="4FF5DDF8" w14:textId="77777777" w:rsidR="00411C27" w:rsidRPr="005F4802" w:rsidRDefault="00411C27" w:rsidP="00411C27">
      <w:pPr>
        <w:spacing w:after="0" w:line="24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VI Work with partners to achieve new heights</w:t>
      </w:r>
    </w:p>
    <w:p w14:paraId="2651606B" w14:textId="77777777" w:rsidR="00411C27" w:rsidRPr="005F4802" w:rsidRDefault="00411C27" w:rsidP="00411C27">
      <w:pPr>
        <w:numPr>
          <w:ilvl w:val="0"/>
          <w:numId w:val="9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Followed by concrete recommendations in line with strategic directions on how to achieve vision. </w:t>
      </w:r>
    </w:p>
    <w:p w14:paraId="1AEC9CE0" w14:textId="77777777" w:rsidR="00411C27" w:rsidRPr="005F4802" w:rsidRDefault="00411C27" w:rsidP="00411C27">
      <w:pPr>
        <w:numPr>
          <w:ilvl w:val="0"/>
          <w:numId w:val="9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Includes Annex which consolidates the data collection process: Focus group discussions &amp; In-depth interviews, month-long online public consultation, Quantitative survey and five public forums. </w:t>
      </w:r>
    </w:p>
    <w:p w14:paraId="024AF31A" w14:textId="77777777" w:rsidR="00411C27" w:rsidRPr="005F4802" w:rsidRDefault="00411C27" w:rsidP="00411C27">
      <w:pPr>
        <w:numPr>
          <w:ilvl w:val="0"/>
          <w:numId w:val="9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Generally</w:t>
      </w:r>
      <w:proofErr w:type="gramEnd"/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 highlight how to move the arts and cultural scene forward, across all demographics. Not specific to any sector or person. </w:t>
      </w:r>
    </w:p>
    <w:p w14:paraId="105CE8FE" w14:textId="77777777" w:rsidR="00411C27" w:rsidRPr="005F4802" w:rsidRDefault="00411C27" w:rsidP="00411C27">
      <w:p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</w:p>
    <w:p w14:paraId="576302C2" w14:textId="77777777" w:rsidR="00411C27" w:rsidRPr="005F4802" w:rsidRDefault="00411C27" w:rsidP="00411C27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F480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Arts Master Plan:</w:t>
      </w:r>
    </w:p>
    <w:p w14:paraId="0C6DBCF3" w14:textId="77777777" w:rsidR="00411C27" w:rsidRPr="005F4802" w:rsidRDefault="00411C27" w:rsidP="00411C27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Casts a collective vision for the performing arts scene and sets out NAC’s work for the next five in years.</w:t>
      </w:r>
    </w:p>
    <w:p w14:paraId="68F65C0A" w14:textId="77777777" w:rsidR="00411C27" w:rsidRPr="005F4802" w:rsidRDefault="00411C27" w:rsidP="00411C27">
      <w:pPr>
        <w:numPr>
          <w:ilvl w:val="0"/>
          <w:numId w:val="10"/>
        </w:num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F4802">
        <w:rPr>
          <w:rFonts w:ascii="Arial" w:hAnsi="Arial" w:cs="Arial"/>
          <w:color w:val="333333"/>
          <w:sz w:val="22"/>
          <w:szCs w:val="22"/>
          <w:shd w:val="clear" w:color="auto" w:fill="FFFFFF"/>
        </w:rPr>
        <w:t>Main report reviews: State of Performing Arts, Dance sector plan, Music sector plan, Theatre sector plan, Traditional Arts sector plan</w:t>
      </w:r>
    </w:p>
    <w:p w14:paraId="4E35DA74" w14:textId="77777777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</w:p>
    <w:sectPr w:rsidR="00411C27" w:rsidRPr="00411C27" w:rsidSect="008029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5A4"/>
    <w:multiLevelType w:val="multilevel"/>
    <w:tmpl w:val="9EE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4D3"/>
    <w:multiLevelType w:val="multilevel"/>
    <w:tmpl w:val="0C5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210F7"/>
    <w:multiLevelType w:val="multilevel"/>
    <w:tmpl w:val="F63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BAD"/>
    <w:multiLevelType w:val="multilevel"/>
    <w:tmpl w:val="57E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B00B0"/>
    <w:multiLevelType w:val="multilevel"/>
    <w:tmpl w:val="24C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1E1E"/>
    <w:multiLevelType w:val="multilevel"/>
    <w:tmpl w:val="214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5579C"/>
    <w:multiLevelType w:val="multilevel"/>
    <w:tmpl w:val="639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587B"/>
    <w:multiLevelType w:val="multilevel"/>
    <w:tmpl w:val="5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A691A"/>
    <w:multiLevelType w:val="multilevel"/>
    <w:tmpl w:val="D04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A7DC6"/>
    <w:multiLevelType w:val="multilevel"/>
    <w:tmpl w:val="D9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5"/>
    <w:rsid w:val="00411C27"/>
    <w:rsid w:val="005F4802"/>
    <w:rsid w:val="0068674C"/>
    <w:rsid w:val="007328F5"/>
    <w:rsid w:val="00756E21"/>
    <w:rsid w:val="0080299D"/>
    <w:rsid w:val="008D0FA5"/>
    <w:rsid w:val="00933FA3"/>
    <w:rsid w:val="009B2005"/>
    <w:rsid w:val="00A531A0"/>
    <w:rsid w:val="00A55D50"/>
    <w:rsid w:val="00C16286"/>
    <w:rsid w:val="00C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3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05"/>
  </w:style>
  <w:style w:type="paragraph" w:styleId="Heading1">
    <w:name w:val="heading 1"/>
    <w:basedOn w:val="Normal"/>
    <w:next w:val="Normal"/>
    <w:link w:val="Heading1Char"/>
    <w:uiPriority w:val="9"/>
    <w:qFormat/>
    <w:rsid w:val="009B20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0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0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0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0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0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0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0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0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0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0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00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0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0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005"/>
    <w:rPr>
      <w:b/>
      <w:color w:val="ED7D31" w:themeColor="accent2"/>
    </w:rPr>
  </w:style>
  <w:style w:type="character" w:styleId="Emphasis">
    <w:name w:val="Emphasis"/>
    <w:uiPriority w:val="20"/>
    <w:qFormat/>
    <w:rsid w:val="009B20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005"/>
  </w:style>
  <w:style w:type="paragraph" w:styleId="ListParagraph">
    <w:name w:val="List Paragraph"/>
    <w:basedOn w:val="Normal"/>
    <w:uiPriority w:val="34"/>
    <w:qFormat/>
    <w:rsid w:val="009B2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0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0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0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B2005"/>
    <w:rPr>
      <w:i/>
    </w:rPr>
  </w:style>
  <w:style w:type="character" w:styleId="IntenseEmphasis">
    <w:name w:val="Intense Emphasis"/>
    <w:uiPriority w:val="21"/>
    <w:qFormat/>
    <w:rsid w:val="009B200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B2005"/>
    <w:rPr>
      <w:b/>
    </w:rPr>
  </w:style>
  <w:style w:type="character" w:styleId="IntenseReference">
    <w:name w:val="Intense Reference"/>
    <w:uiPriority w:val="32"/>
    <w:qFormat/>
    <w:rsid w:val="009B20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0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005"/>
    <w:pPr>
      <w:outlineLvl w:val="9"/>
    </w:pPr>
  </w:style>
  <w:style w:type="table" w:styleId="TableGrid">
    <w:name w:val="Table Grid"/>
    <w:basedOn w:val="TableNormal"/>
    <w:uiPriority w:val="39"/>
    <w:rsid w:val="005F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904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2018-01-14T12:34:00Z</dcterms:created>
  <dcterms:modified xsi:type="dcterms:W3CDTF">2018-01-14T13:03:00Z</dcterms:modified>
</cp:coreProperties>
</file>