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AE" w:rsidRPr="002D20D8" w:rsidRDefault="002530DC">
      <w:pPr>
        <w:spacing w:before="118"/>
        <w:ind w:left="230"/>
        <w:rPr>
          <w:color w:val="F79646" w:themeColor="accent6"/>
          <w:sz w:val="36"/>
        </w:rPr>
      </w:pPr>
      <w:r w:rsidRPr="002D20D8">
        <w:rPr>
          <w:color w:val="F79646" w:themeColor="accent6"/>
          <w:sz w:val="36"/>
        </w:rPr>
        <w:t>Client Meeting Minutes #1</w:t>
      </w:r>
    </w:p>
    <w:p w:rsidR="005B22AE" w:rsidRDefault="005B22AE">
      <w:pPr>
        <w:pStyle w:val="BodyText"/>
      </w:pPr>
    </w:p>
    <w:p w:rsidR="005B22AE" w:rsidRDefault="002530DC">
      <w:pPr>
        <w:pStyle w:val="BodyText"/>
        <w:spacing w:before="4"/>
        <w:rPr>
          <w:sz w:val="10"/>
        </w:rPr>
      </w:pPr>
      <w:r>
        <w:pict>
          <v:group id="_x0000_s1057" style="position:absolute;margin-left:71.8pt;margin-top:7.95pt;width:446.9pt;height:1.45pt;z-index:251656192;mso-wrap-distance-left:0;mso-wrap-distance-right:0;mso-position-horizontal-relative:page" coordorigin="1436,159" coordsize="8938,29">
            <v:line id="_x0000_s1070" style="position:absolute" from="1450,173" to="10359,173" strokecolor="#a0a0a0" strokeweight="1.44pt"/>
            <v:line id="_x0000_s1069" style="position:absolute" from="1450,161" to="1455,161" strokecolor="#aaa" strokeweight=".24pt"/>
            <v:line id="_x0000_s1068" style="position:absolute" from="1450,161" to="1455,161" strokecolor="#aaa" strokeweight=".24pt"/>
            <v:line id="_x0000_s1067" style="position:absolute" from="1455,161" to="10354,161" strokecolor="#aaa" strokeweight=".24pt"/>
            <v:line id="_x0000_s1066" style="position:absolute" from="10354,161" to="10359,161" strokecolor="#eee" strokeweight=".24pt"/>
            <v:line id="_x0000_s1065" style="position:absolute" from="10354,161" to="10359,161" strokecolor="#aaa" strokeweight=".24pt"/>
            <v:line id="_x0000_s1064" style="position:absolute" from="1450,173" to="1455,173" strokecolor="#aaa" strokeweight=".96pt"/>
            <v:line id="_x0000_s1063" style="position:absolute" from="10354,173" to="10359,173" strokecolor="#eee" strokeweight=".96pt"/>
            <v:line id="_x0000_s1062" style="position:absolute" from="1450,185" to="1455,185" strokecolor="#aaa" strokeweight=".24pt"/>
            <v:line id="_x0000_s1061" style="position:absolute" from="1450,185" to="1455,185" strokecolor="#eee" strokeweight=".24pt"/>
            <v:line id="_x0000_s1060" style="position:absolute" from="1455,185" to="10354,185" strokecolor="#f79646 [3209]" strokeweight=".24pt"/>
            <v:line id="_x0000_s1059" style="position:absolute" from="10354,185" to="10359,185" strokecolor="#eee" strokeweight=".24pt"/>
            <v:line id="_x0000_s1058" style="position:absolute" from="10354,185" to="10359,185" strokecolor="#eee" strokeweight=".24pt"/>
            <w10:wrap type="topAndBottom" anchorx="page"/>
          </v:group>
        </w:pict>
      </w:r>
    </w:p>
    <w:p w:rsidR="005B22AE" w:rsidRDefault="005B22AE">
      <w:pPr>
        <w:pStyle w:val="BodyText"/>
        <w:spacing w:before="9"/>
        <w:rPr>
          <w:sz w:val="13"/>
        </w:rPr>
      </w:pPr>
    </w:p>
    <w:p w:rsidR="005B22AE" w:rsidRDefault="002530DC">
      <w:pPr>
        <w:tabs>
          <w:tab w:val="left" w:pos="1550"/>
        </w:tabs>
        <w:spacing w:before="100"/>
        <w:ind w:left="230"/>
        <w:rPr>
          <w:sz w:val="20"/>
        </w:rPr>
      </w:pPr>
      <w:r>
        <w:rPr>
          <w:b/>
          <w:w w:val="105"/>
          <w:sz w:val="20"/>
        </w:rPr>
        <w:t>Date/Time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28th Dec 2017, 3pm 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4.30pm</w:t>
      </w:r>
    </w:p>
    <w:p w:rsidR="005B22AE" w:rsidRDefault="005B22AE">
      <w:pPr>
        <w:pStyle w:val="BodyText"/>
      </w:pPr>
    </w:p>
    <w:p w:rsidR="002530DC" w:rsidRPr="002530DC" w:rsidRDefault="002530DC" w:rsidP="002530DC">
      <w:pPr>
        <w:ind w:firstLine="230"/>
        <w:rPr>
          <w:sz w:val="20"/>
          <w:szCs w:val="20"/>
        </w:rPr>
      </w:pPr>
      <w:r>
        <w:rPr>
          <w:b/>
          <w:w w:val="105"/>
          <w:sz w:val="20"/>
        </w:rPr>
        <w:t>Venue</w:t>
      </w:r>
      <w:r>
        <w:rPr>
          <w:b/>
          <w:w w:val="105"/>
          <w:sz w:val="20"/>
        </w:rPr>
        <w:tab/>
      </w:r>
      <w:r w:rsidRPr="002530DC">
        <w:rPr>
          <w:sz w:val="20"/>
          <w:szCs w:val="20"/>
        </w:rPr>
        <w:t>Koi Café Group(S) Office,</w:t>
      </w:r>
    </w:p>
    <w:p w:rsidR="002530DC" w:rsidRPr="002530DC" w:rsidRDefault="002530DC" w:rsidP="002530DC">
      <w:pPr>
        <w:rPr>
          <w:sz w:val="20"/>
          <w:szCs w:val="20"/>
        </w:rPr>
      </w:pPr>
      <w:r w:rsidRPr="002530DC">
        <w:rPr>
          <w:sz w:val="20"/>
          <w:szCs w:val="20"/>
        </w:rPr>
        <w:tab/>
      </w:r>
      <w:r w:rsidRPr="002530DC">
        <w:rPr>
          <w:sz w:val="20"/>
          <w:szCs w:val="20"/>
        </w:rPr>
        <w:tab/>
        <w:t xml:space="preserve">2, Serangoon North Avenue 5, </w:t>
      </w:r>
    </w:p>
    <w:p w:rsidR="002530DC" w:rsidRPr="002530DC" w:rsidRDefault="002530DC" w:rsidP="002530DC">
      <w:pPr>
        <w:rPr>
          <w:sz w:val="20"/>
          <w:szCs w:val="20"/>
        </w:rPr>
      </w:pPr>
      <w:r w:rsidRPr="002530DC">
        <w:rPr>
          <w:sz w:val="20"/>
          <w:szCs w:val="20"/>
        </w:rPr>
        <w:tab/>
      </w:r>
      <w:r w:rsidRPr="002530DC">
        <w:rPr>
          <w:sz w:val="20"/>
          <w:szCs w:val="20"/>
        </w:rPr>
        <w:tab/>
        <w:t>#06-02, Singapore 554911</w:t>
      </w:r>
    </w:p>
    <w:p w:rsidR="005B22AE" w:rsidRDefault="005B22AE">
      <w:pPr>
        <w:tabs>
          <w:tab w:val="left" w:pos="1550"/>
        </w:tabs>
        <w:spacing w:before="1"/>
        <w:ind w:left="230"/>
        <w:rPr>
          <w:sz w:val="20"/>
        </w:rPr>
      </w:pPr>
    </w:p>
    <w:p w:rsidR="005B22AE" w:rsidRDefault="005B22AE">
      <w:pPr>
        <w:pStyle w:val="BodyText"/>
        <w:spacing w:before="5"/>
      </w:pPr>
    </w:p>
    <w:p w:rsidR="005B22AE" w:rsidRDefault="002530DC">
      <w:pPr>
        <w:tabs>
          <w:tab w:val="left" w:pos="1550"/>
        </w:tabs>
        <w:spacing w:before="1"/>
        <w:ind w:left="230"/>
        <w:rPr>
          <w:sz w:val="20"/>
        </w:rPr>
      </w:pPr>
      <w:r>
        <w:rPr>
          <w:b/>
          <w:w w:val="105"/>
          <w:sz w:val="20"/>
        </w:rPr>
        <w:t>Attendees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 xml:space="preserve">Toh Ling Jing (Angie), </w:t>
      </w:r>
      <w:proofErr w:type="spellStart"/>
      <w:r>
        <w:rPr>
          <w:w w:val="105"/>
          <w:sz w:val="20"/>
        </w:rPr>
        <w:t>Phang</w:t>
      </w:r>
      <w:proofErr w:type="spellEnd"/>
      <w:r>
        <w:rPr>
          <w:w w:val="105"/>
          <w:sz w:val="20"/>
        </w:rPr>
        <w:t xml:space="preserve"> Shi Jia, Ryan Chia Cheng Yu</w:t>
      </w:r>
    </w:p>
    <w:p w:rsidR="005B22AE" w:rsidRDefault="005B22AE">
      <w:pPr>
        <w:pStyle w:val="BodyText"/>
        <w:spacing w:before="1"/>
      </w:pPr>
    </w:p>
    <w:p w:rsidR="002530DC" w:rsidRDefault="002530DC" w:rsidP="002530DC">
      <w:pPr>
        <w:pStyle w:val="BodyText"/>
        <w:tabs>
          <w:tab w:val="left" w:pos="1535"/>
        </w:tabs>
        <w:ind w:left="230"/>
        <w:rPr>
          <w:w w:val="105"/>
        </w:rPr>
      </w:pPr>
      <w:r>
        <w:rPr>
          <w:b/>
          <w:w w:val="105"/>
        </w:rPr>
        <w:t>Agenda</w:t>
      </w:r>
      <w:r>
        <w:rPr>
          <w:b/>
          <w:w w:val="105"/>
        </w:rPr>
        <w:tab/>
      </w:r>
      <w:r>
        <w:rPr>
          <w:w w:val="105"/>
        </w:rPr>
        <w:t>1.   Finalize on the project scope</w:t>
      </w:r>
    </w:p>
    <w:p w:rsidR="002530DC" w:rsidRPr="002530DC" w:rsidRDefault="002530DC" w:rsidP="002530DC">
      <w:pPr>
        <w:pStyle w:val="BodyText"/>
        <w:tabs>
          <w:tab w:val="left" w:pos="1535"/>
        </w:tabs>
        <w:ind w:left="230"/>
        <w:rPr>
          <w:w w:val="105"/>
        </w:rPr>
      </w:pPr>
      <w:r>
        <w:rPr>
          <w:w w:val="105"/>
        </w:rPr>
        <w:tab/>
        <w:t>2.   Discussion on the data required from the client</w:t>
      </w:r>
    </w:p>
    <w:p w:rsidR="005B22AE" w:rsidRDefault="005B22AE">
      <w:pPr>
        <w:pStyle w:val="BodyText"/>
      </w:pPr>
    </w:p>
    <w:p w:rsidR="005B22AE" w:rsidRDefault="002530DC">
      <w:pPr>
        <w:pStyle w:val="BodyText"/>
        <w:spacing w:before="9"/>
        <w:rPr>
          <w:sz w:val="13"/>
        </w:rPr>
      </w:pPr>
      <w:r>
        <w:pict>
          <v:group id="_x0000_s1043" style="position:absolute;margin-left:71.8pt;margin-top:9.9pt;width:446.9pt;height:1.45pt;z-index:251657216;mso-wrap-distance-left:0;mso-wrap-distance-right:0;mso-position-horizontal-relative:page" coordorigin="1436,198" coordsize="8938,29">
            <v:line id="_x0000_s1056" style="position:absolute" from="1450,212" to="10359,212" strokecolor="#f79646 [3209]" strokeweight="1.44pt"/>
            <v:line id="_x0000_s1055" style="position:absolute" from="1450,200" to="1455,200" strokecolor="#f79646 [3209]" strokeweight=".24pt"/>
            <v:line id="_x0000_s1054" style="position:absolute" from="1450,200" to="1455,200" strokecolor="#f79646 [3209]" strokeweight=".24pt"/>
            <v:line id="_x0000_s1053" style="position:absolute" from="1455,200" to="10354,200" strokecolor="#f79646 [3209]" strokeweight=".24pt"/>
            <v:line id="_x0000_s1052" style="position:absolute" from="10354,200" to="10359,200" strokecolor="#f79646 [3209]" strokeweight=".24pt"/>
            <v:line id="_x0000_s1051" style="position:absolute" from="10354,200" to="10359,200" strokecolor="#f79646 [3209]" strokeweight=".24pt"/>
            <v:line id="_x0000_s1050" style="position:absolute" from="1450,212" to="1455,212" strokecolor="#f79646 [3209]" strokeweight=".96pt"/>
            <v:line id="_x0000_s1049" style="position:absolute" from="10354,212" to="10359,212" strokecolor="#f79646 [3209]" strokeweight=".96pt"/>
            <v:line id="_x0000_s1048" style="position:absolute" from="1450,224" to="1455,224" strokecolor="#f79646 [3209]" strokeweight=".24pt"/>
            <v:line id="_x0000_s1047" style="position:absolute" from="1450,224" to="1455,224" strokecolor="#f79646 [3209]" strokeweight=".24pt"/>
            <v:line id="_x0000_s1046" style="position:absolute" from="1455,224" to="10354,224" strokecolor="#f79646 [3209]" strokeweight=".24pt"/>
            <v:line id="_x0000_s1045" style="position:absolute" from="10354,224" to="10359,224" strokecolor="#f79646 [3209]" strokeweight=".24pt"/>
            <v:line id="_x0000_s1044" style="position:absolute" from="10354,224" to="10359,224" strokecolor="#f79646 [3209]" strokeweight=".24pt"/>
            <w10:wrap type="topAndBottom" anchorx="page"/>
          </v:group>
        </w:pict>
      </w:r>
    </w:p>
    <w:p w:rsidR="005B22AE" w:rsidRDefault="005B22AE">
      <w:pPr>
        <w:pStyle w:val="BodyText"/>
        <w:spacing w:before="4"/>
        <w:rPr>
          <w:sz w:val="13"/>
        </w:rPr>
      </w:pPr>
    </w:p>
    <w:p w:rsidR="005B22AE" w:rsidRPr="002D20D8" w:rsidRDefault="002530DC">
      <w:pPr>
        <w:tabs>
          <w:tab w:val="left" w:pos="2756"/>
          <w:tab w:val="left" w:pos="6138"/>
          <w:tab w:val="left" w:pos="7199"/>
        </w:tabs>
        <w:spacing w:before="100"/>
        <w:ind w:left="230"/>
        <w:rPr>
          <w:b/>
          <w:color w:val="E36C0A" w:themeColor="accent6" w:themeShade="BF"/>
          <w:sz w:val="19"/>
        </w:rPr>
      </w:pPr>
      <w:r w:rsidRPr="002D20D8">
        <w:rPr>
          <w:b/>
          <w:color w:val="E36C0A" w:themeColor="accent6" w:themeShade="BF"/>
          <w:w w:val="105"/>
          <w:sz w:val="19"/>
        </w:rPr>
        <w:t>S/N</w:t>
      </w:r>
      <w:r w:rsidRPr="002D20D8">
        <w:rPr>
          <w:b/>
          <w:color w:val="E36C0A" w:themeColor="accent6" w:themeShade="BF"/>
          <w:w w:val="105"/>
          <w:sz w:val="19"/>
        </w:rPr>
        <w:tab/>
        <w:t>Notes/Task</w:t>
      </w:r>
      <w:r w:rsidRPr="002D20D8">
        <w:rPr>
          <w:b/>
          <w:color w:val="E36C0A" w:themeColor="accent6" w:themeShade="BF"/>
          <w:w w:val="105"/>
          <w:sz w:val="19"/>
        </w:rPr>
        <w:tab/>
        <w:t>Actor</w:t>
      </w:r>
      <w:r w:rsidRPr="002D20D8">
        <w:rPr>
          <w:b/>
          <w:color w:val="E36C0A" w:themeColor="accent6" w:themeShade="BF"/>
          <w:w w:val="105"/>
          <w:sz w:val="19"/>
        </w:rPr>
        <w:tab/>
        <w:t>Follow-up</w:t>
      </w:r>
      <w:r w:rsidRPr="002D20D8">
        <w:rPr>
          <w:b/>
          <w:color w:val="E36C0A" w:themeColor="accent6" w:themeShade="BF"/>
          <w:spacing w:val="-7"/>
          <w:w w:val="105"/>
          <w:sz w:val="19"/>
        </w:rPr>
        <w:t xml:space="preserve"> </w:t>
      </w:r>
      <w:r w:rsidRPr="002D20D8">
        <w:rPr>
          <w:b/>
          <w:color w:val="E36C0A" w:themeColor="accent6" w:themeShade="BF"/>
          <w:w w:val="105"/>
          <w:sz w:val="19"/>
        </w:rPr>
        <w:t>Action</w:t>
      </w:r>
    </w:p>
    <w:p w:rsidR="005B22AE" w:rsidRDefault="005B22AE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79646" w:themeFill="accent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992"/>
        <w:gridCol w:w="1234"/>
        <w:gridCol w:w="1992"/>
      </w:tblGrid>
      <w:tr w:rsidR="005B22AE" w:rsidTr="002D20D8">
        <w:trPr>
          <w:trHeight w:val="2430"/>
        </w:trPr>
        <w:tc>
          <w:tcPr>
            <w:tcW w:w="662" w:type="dxa"/>
            <w:tcBorders>
              <w:top w:val="nil"/>
            </w:tcBorders>
            <w:shd w:val="clear" w:color="auto" w:fill="F79646" w:themeFill="accent6"/>
          </w:tcPr>
          <w:p w:rsidR="005B22AE" w:rsidRDefault="002530DC">
            <w:pPr>
              <w:pStyle w:val="TableParagraph"/>
              <w:spacing w:before="105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FABF8F" w:themeFill="accent6" w:themeFillTint="99"/>
          </w:tcPr>
          <w:p w:rsidR="005B22AE" w:rsidRDefault="002530DC">
            <w:pPr>
              <w:pStyle w:val="TableParagraph"/>
              <w:spacing w:before="105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Our project sponsor has identified some problems they faced in the logistic part of the business:</w:t>
            </w:r>
          </w:p>
          <w:p w:rsidR="005B22AE" w:rsidRDefault="002530DC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3" w:line="252" w:lineRule="auto"/>
              <w:ind w:right="84"/>
              <w:jc w:val="both"/>
              <w:rPr>
                <w:sz w:val="19"/>
              </w:rPr>
            </w:pPr>
            <w:r>
              <w:rPr>
                <w:sz w:val="19"/>
              </w:rPr>
              <w:t>Employees in different branches must constantly key in stocks required for the next data manually.</w:t>
            </w:r>
          </w:p>
          <w:p w:rsidR="002530DC" w:rsidRDefault="002530DC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3" w:line="252" w:lineRule="auto"/>
              <w:ind w:right="84"/>
              <w:jc w:val="both"/>
              <w:rPr>
                <w:sz w:val="19"/>
              </w:rPr>
            </w:pPr>
            <w:r>
              <w:rPr>
                <w:sz w:val="19"/>
              </w:rPr>
              <w:t>Difficulty in understanding how much is required during special promotion period (result in under/over order)</w:t>
            </w:r>
          </w:p>
          <w:p w:rsidR="002530DC" w:rsidRDefault="002530DC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3" w:line="252" w:lineRule="auto"/>
              <w:ind w:right="84"/>
              <w:jc w:val="both"/>
              <w:rPr>
                <w:sz w:val="19"/>
              </w:rPr>
            </w:pPr>
            <w:r>
              <w:rPr>
                <w:sz w:val="19"/>
              </w:rPr>
              <w:t>Each Branches have a space constraint as to how many ingredients they can stock up.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FABF8F" w:themeFill="accent6" w:themeFillTint="99"/>
          </w:tcPr>
          <w:p w:rsidR="005B22AE" w:rsidRDefault="005B22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FABF8F" w:themeFill="accent6" w:themeFillTint="99"/>
          </w:tcPr>
          <w:p w:rsidR="005B22AE" w:rsidRDefault="005B22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B22AE" w:rsidTr="002D20D8">
        <w:trPr>
          <w:trHeight w:val="1420"/>
        </w:trPr>
        <w:tc>
          <w:tcPr>
            <w:tcW w:w="662" w:type="dxa"/>
            <w:shd w:val="clear" w:color="auto" w:fill="F79646" w:themeFill="accent6"/>
          </w:tcPr>
          <w:p w:rsidR="005B22AE" w:rsidRDefault="002530DC">
            <w:pPr>
              <w:pStyle w:val="TableParagraph"/>
              <w:spacing w:before="104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4992" w:type="dxa"/>
            <w:shd w:val="clear" w:color="auto" w:fill="FABF8F" w:themeFill="accent6" w:themeFillTint="99"/>
          </w:tcPr>
          <w:p w:rsidR="005B22AE" w:rsidRDefault="002530DC">
            <w:pPr>
              <w:pStyle w:val="TableParagraph"/>
              <w:spacing w:before="104" w:line="252" w:lineRule="auto"/>
              <w:ind w:left="90"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Potential solution the team can work on: </w:t>
            </w:r>
          </w:p>
          <w:p w:rsidR="002530DC" w:rsidRDefault="002530DC" w:rsidP="002530DC">
            <w:pPr>
              <w:pStyle w:val="TableParagraph"/>
              <w:numPr>
                <w:ilvl w:val="0"/>
                <w:numId w:val="5"/>
              </w:numPr>
              <w:spacing w:before="104" w:line="252" w:lineRule="auto"/>
              <w:ind w:right="86"/>
              <w:jc w:val="both"/>
              <w:rPr>
                <w:sz w:val="19"/>
              </w:rPr>
            </w:pPr>
            <w:r>
              <w:rPr>
                <w:sz w:val="19"/>
              </w:rPr>
              <w:t>Predict the optimal restock amount with a safety net of 15%-20%</w:t>
            </w:r>
          </w:p>
          <w:p w:rsidR="002530DC" w:rsidRDefault="002530DC" w:rsidP="002530DC">
            <w:pPr>
              <w:pStyle w:val="TableParagraph"/>
              <w:numPr>
                <w:ilvl w:val="0"/>
                <w:numId w:val="5"/>
              </w:numPr>
              <w:spacing w:before="104" w:line="252" w:lineRule="auto"/>
              <w:ind w:right="86"/>
              <w:jc w:val="both"/>
              <w:rPr>
                <w:sz w:val="19"/>
              </w:rPr>
            </w:pPr>
            <w:r>
              <w:rPr>
                <w:sz w:val="19"/>
              </w:rPr>
              <w:t>Determine the correlations between the promotion held by Koi and their sales</w:t>
            </w:r>
          </w:p>
          <w:p w:rsidR="002530DC" w:rsidRDefault="002530DC" w:rsidP="002530DC">
            <w:pPr>
              <w:pStyle w:val="TableParagraph"/>
              <w:numPr>
                <w:ilvl w:val="0"/>
                <w:numId w:val="5"/>
              </w:numPr>
              <w:spacing w:before="104" w:line="252" w:lineRule="auto"/>
              <w:ind w:right="86"/>
              <w:jc w:val="both"/>
              <w:rPr>
                <w:sz w:val="19"/>
              </w:rPr>
            </w:pPr>
            <w:r>
              <w:rPr>
                <w:sz w:val="19"/>
              </w:rPr>
              <w:t xml:space="preserve">Determine if there </w:t>
            </w:r>
            <w:proofErr w:type="gramStart"/>
            <w:r>
              <w:rPr>
                <w:sz w:val="19"/>
              </w:rPr>
              <w:t>is</w:t>
            </w:r>
            <w:proofErr w:type="gramEnd"/>
            <w:r>
              <w:rPr>
                <w:sz w:val="19"/>
              </w:rPr>
              <w:t xml:space="preserve"> any correlations between demographics living in the area and sales</w:t>
            </w:r>
          </w:p>
          <w:p w:rsidR="002530DC" w:rsidRDefault="002530DC" w:rsidP="002530DC">
            <w:pPr>
              <w:pStyle w:val="TableParagraph"/>
              <w:spacing w:before="104" w:line="252" w:lineRule="auto"/>
              <w:ind w:left="0" w:right="86"/>
              <w:jc w:val="both"/>
              <w:rPr>
                <w:sz w:val="19"/>
              </w:rPr>
            </w:pPr>
          </w:p>
          <w:p w:rsidR="002530DC" w:rsidRDefault="002530DC" w:rsidP="002530DC">
            <w:pPr>
              <w:pStyle w:val="TableParagraph"/>
              <w:spacing w:before="104" w:line="252" w:lineRule="auto"/>
              <w:ind w:left="0" w:right="86"/>
              <w:jc w:val="both"/>
              <w:rPr>
                <w:sz w:val="19"/>
              </w:rPr>
            </w:pPr>
            <w:r>
              <w:rPr>
                <w:sz w:val="19"/>
              </w:rPr>
              <w:t xml:space="preserve">Secondary focus of the project will be their secondary competitors that might affect their sales (Secondary competitors excluding Gong Cha &amp; </w:t>
            </w:r>
            <w:proofErr w:type="spellStart"/>
            <w:r>
              <w:rPr>
                <w:sz w:val="19"/>
              </w:rPr>
              <w:t>Liho</w:t>
            </w:r>
            <w:proofErr w:type="spellEnd"/>
            <w:r>
              <w:rPr>
                <w:sz w:val="19"/>
              </w:rPr>
              <w:t>)</w:t>
            </w:r>
          </w:p>
          <w:p w:rsidR="002530DC" w:rsidRDefault="002530DC" w:rsidP="002530DC">
            <w:pPr>
              <w:pStyle w:val="TableParagraph"/>
              <w:spacing w:before="104" w:line="252" w:lineRule="auto"/>
              <w:ind w:left="0" w:right="86"/>
              <w:jc w:val="both"/>
              <w:rPr>
                <w:sz w:val="19"/>
              </w:rPr>
            </w:pPr>
          </w:p>
          <w:p w:rsidR="002530DC" w:rsidRDefault="002530DC" w:rsidP="002530DC">
            <w:pPr>
              <w:pStyle w:val="TableParagraph"/>
              <w:spacing w:before="104" w:line="252" w:lineRule="auto"/>
              <w:ind w:left="0" w:right="86"/>
              <w:jc w:val="both"/>
              <w:rPr>
                <w:sz w:val="19"/>
              </w:rPr>
            </w:pPr>
            <w:r>
              <w:rPr>
                <w:sz w:val="19"/>
              </w:rPr>
              <w:t>Not interested in Market Basket Analysis</w:t>
            </w:r>
          </w:p>
        </w:tc>
        <w:tc>
          <w:tcPr>
            <w:tcW w:w="1234" w:type="dxa"/>
            <w:shd w:val="clear" w:color="auto" w:fill="FABF8F" w:themeFill="accent6" w:themeFillTint="99"/>
          </w:tcPr>
          <w:p w:rsidR="005B22AE" w:rsidRDefault="005B22A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B22AE" w:rsidRDefault="005B22A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</w:p>
        </w:tc>
      </w:tr>
      <w:tr w:rsidR="005B22AE" w:rsidTr="002D20D8">
        <w:trPr>
          <w:trHeight w:val="880"/>
        </w:trPr>
        <w:tc>
          <w:tcPr>
            <w:tcW w:w="662" w:type="dxa"/>
            <w:tcBorders>
              <w:bottom w:val="nil"/>
            </w:tcBorders>
            <w:shd w:val="clear" w:color="auto" w:fill="F79646" w:themeFill="accent6"/>
          </w:tcPr>
          <w:p w:rsidR="005B22AE" w:rsidRDefault="002530DC">
            <w:pPr>
              <w:pStyle w:val="TableParagraph"/>
              <w:spacing w:before="104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4992" w:type="dxa"/>
            <w:tcBorders>
              <w:bottom w:val="nil"/>
            </w:tcBorders>
            <w:shd w:val="clear" w:color="auto" w:fill="FABF8F" w:themeFill="accent6" w:themeFillTint="99"/>
          </w:tcPr>
          <w:p w:rsidR="005B22AE" w:rsidRDefault="002530DC">
            <w:pPr>
              <w:pStyle w:val="TableParagraph"/>
              <w:spacing w:before="104" w:line="252" w:lineRule="auto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Clarified the list of data needed from the sponsor:</w:t>
            </w:r>
          </w:p>
          <w:p w:rsidR="005B22AE" w:rsidRPr="002D20D8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Sales data (might not be accurate to use sale data to predict)</w:t>
            </w:r>
          </w:p>
          <w:p w:rsidR="002D20D8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Shipment data</w:t>
            </w:r>
          </w:p>
          <w:p w:rsidR="002D20D8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Wastage data</w:t>
            </w:r>
          </w:p>
          <w:p w:rsidR="002D20D8" w:rsidRDefault="002D20D8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Promotion data</w:t>
            </w:r>
          </w:p>
          <w:p w:rsidR="002D20D8" w:rsidRDefault="002D20D8" w:rsidP="002D20D8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rPr>
                <w:sz w:val="19"/>
              </w:rPr>
            </w:pPr>
            <w:r>
              <w:rPr>
                <w:sz w:val="19"/>
              </w:rPr>
              <w:t>Rough estimate of the space constraint of each branch</w:t>
            </w:r>
          </w:p>
          <w:p w:rsidR="002D20D8" w:rsidRDefault="002D20D8" w:rsidP="002D20D8">
            <w:pPr>
              <w:pStyle w:val="TableParagraph"/>
              <w:tabs>
                <w:tab w:val="left" w:pos="810"/>
                <w:tab w:val="left" w:pos="811"/>
              </w:tabs>
              <w:ind w:left="0"/>
              <w:rPr>
                <w:sz w:val="19"/>
              </w:rPr>
            </w:pPr>
          </w:p>
          <w:p w:rsidR="002D20D8" w:rsidRDefault="002D20D8" w:rsidP="002D20D8">
            <w:pPr>
              <w:pStyle w:val="TableParagraph"/>
              <w:tabs>
                <w:tab w:val="left" w:pos="810"/>
                <w:tab w:val="left" w:pos="811"/>
              </w:tabs>
              <w:ind w:left="0"/>
              <w:rPr>
                <w:sz w:val="19"/>
              </w:rPr>
            </w:pPr>
            <w:r>
              <w:rPr>
                <w:sz w:val="19"/>
              </w:rPr>
              <w:t xml:space="preserve">Drink composition data will not be given as there is too many drink compositions. Instead of drink composition </w:t>
            </w:r>
            <w:r>
              <w:rPr>
                <w:sz w:val="19"/>
              </w:rPr>
              <w:lastRenderedPageBreak/>
              <w:t>data, they will be giving us a ratio of the cups of drink sold</w:t>
            </w:r>
            <w:r>
              <w:rPr>
                <w:sz w:val="19"/>
              </w:rPr>
              <w:t>.</w:t>
            </w:r>
          </w:p>
          <w:p w:rsidR="002D20D8" w:rsidRDefault="002D20D8" w:rsidP="002D20D8">
            <w:pPr>
              <w:pStyle w:val="TableParagraph"/>
              <w:tabs>
                <w:tab w:val="left" w:pos="810"/>
                <w:tab w:val="left" w:pos="811"/>
              </w:tabs>
              <w:ind w:left="0"/>
              <w:rPr>
                <w:sz w:val="19"/>
              </w:rPr>
            </w:pPr>
          </w:p>
          <w:p w:rsidR="002D20D8" w:rsidRDefault="002D20D8" w:rsidP="002D20D8">
            <w:pPr>
              <w:pStyle w:val="TableParagraph"/>
              <w:tabs>
                <w:tab w:val="left" w:pos="810"/>
                <w:tab w:val="left" w:pos="811"/>
              </w:tabs>
              <w:ind w:left="0"/>
              <w:rPr>
                <w:sz w:val="19"/>
              </w:rPr>
            </w:pPr>
            <w:r>
              <w:rPr>
                <w:sz w:val="19"/>
              </w:rPr>
              <w:t>Data range from 15-20 outlets and over a period of 1-2 years.</w:t>
            </w:r>
          </w:p>
          <w:p w:rsidR="002D20D8" w:rsidRPr="002D20D8" w:rsidRDefault="002D20D8" w:rsidP="002D20D8">
            <w:pPr>
              <w:pStyle w:val="TableParagraph"/>
              <w:tabs>
                <w:tab w:val="left" w:pos="810"/>
                <w:tab w:val="left" w:pos="811"/>
              </w:tabs>
              <w:ind w:left="0"/>
              <w:rPr>
                <w:sz w:val="19"/>
              </w:rPr>
            </w:pPr>
          </w:p>
        </w:tc>
        <w:tc>
          <w:tcPr>
            <w:tcW w:w="1234" w:type="dxa"/>
            <w:tcBorders>
              <w:bottom w:val="nil"/>
            </w:tcBorders>
            <w:shd w:val="clear" w:color="auto" w:fill="FABF8F" w:themeFill="accent6" w:themeFillTint="99"/>
          </w:tcPr>
          <w:p w:rsidR="005B22AE" w:rsidRDefault="009E53B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Ryan Chia</w:t>
            </w:r>
            <w:bookmarkStart w:id="0" w:name="_GoBack"/>
            <w:bookmarkEnd w:id="0"/>
          </w:p>
        </w:tc>
        <w:tc>
          <w:tcPr>
            <w:tcW w:w="1992" w:type="dxa"/>
            <w:tcBorders>
              <w:bottom w:val="nil"/>
            </w:tcBorders>
            <w:shd w:val="clear" w:color="auto" w:fill="FABF8F" w:themeFill="accent6" w:themeFillTint="99"/>
          </w:tcPr>
          <w:p w:rsidR="005B22AE" w:rsidRDefault="002D20D8" w:rsidP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Send email to client regarding to the list of data needed from them by 4</w:t>
            </w:r>
            <w:r w:rsidRPr="002D20D8">
              <w:rPr>
                <w:rFonts w:ascii="Times New Roman"/>
                <w:sz w:val="20"/>
                <w:vertAlign w:val="superscript"/>
              </w:rPr>
              <w:t>th</w:t>
            </w:r>
            <w:r>
              <w:rPr>
                <w:rFonts w:ascii="Times New Roman"/>
                <w:sz w:val="20"/>
              </w:rPr>
              <w:t xml:space="preserve"> Jan 2018.</w:t>
            </w:r>
          </w:p>
          <w:p w:rsidR="002D20D8" w:rsidRDefault="002D20D8" w:rsidP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20D8" w:rsidRDefault="002D20D8" w:rsidP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Send NDA form to client by the end of the first week of Jan 2018.</w:t>
            </w:r>
          </w:p>
          <w:p w:rsidR="002D20D8" w:rsidRDefault="002D20D8" w:rsidP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20D8" w:rsidRDefault="002D20D8" w:rsidP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Send proposal to client by the end of the first </w:t>
            </w:r>
            <w:r>
              <w:rPr>
                <w:rFonts w:ascii="Times New Roman"/>
                <w:sz w:val="20"/>
              </w:rPr>
              <w:lastRenderedPageBreak/>
              <w:t>week of Jan 2018.</w:t>
            </w:r>
          </w:p>
          <w:p w:rsidR="002D20D8" w:rsidRDefault="002D20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D20D8" w:rsidRDefault="002D20D8">
      <w:pPr>
        <w:rPr>
          <w:rFonts w:ascii="Times New Roman"/>
          <w:sz w:val="20"/>
        </w:rPr>
      </w:pPr>
    </w:p>
    <w:p w:rsidR="002D20D8" w:rsidRPr="002D20D8" w:rsidRDefault="002D20D8" w:rsidP="002D20D8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group id="_x0000_s1085" style="position:absolute;margin-left:61.3pt;margin-top:1.3pt;width:446.9pt;height:1.45pt;z-index:251660288;mso-wrap-distance-left:0;mso-wrap-distance-right:0;mso-position-horizontal-relative:page" coordorigin="1436,198" coordsize="8938,29">
            <v:line id="_x0000_s1086" style="position:absolute" from="1450,212" to="10359,212" strokecolor="#f79646 [3209]" strokeweight="1.44pt"/>
            <v:line id="_x0000_s1087" style="position:absolute" from="1450,200" to="1455,200" strokecolor="#f79646 [3209]" strokeweight=".24pt"/>
            <v:line id="_x0000_s1088" style="position:absolute" from="1450,200" to="1455,200" strokecolor="#f79646 [3209]" strokeweight=".24pt"/>
            <v:line id="_x0000_s1089" style="position:absolute" from="1455,200" to="10354,200" strokecolor="#f79646 [3209]" strokeweight=".24pt"/>
            <v:line id="_x0000_s1090" style="position:absolute" from="10354,200" to="10359,200" strokecolor="#f79646 [3209]" strokeweight=".24pt"/>
            <v:line id="_x0000_s1091" style="position:absolute" from="10354,200" to="10359,200" strokecolor="#f79646 [3209]" strokeweight=".24pt"/>
            <v:line id="_x0000_s1092" style="position:absolute" from="1450,212" to="1455,212" strokecolor="#f79646 [3209]" strokeweight=".96pt"/>
            <v:line id="_x0000_s1093" style="position:absolute" from="10354,212" to="10359,212" strokecolor="#f79646 [3209]" strokeweight=".96pt"/>
            <v:line id="_x0000_s1094" style="position:absolute" from="1450,224" to="1455,224" strokecolor="#f79646 [3209]" strokeweight=".24pt"/>
            <v:line id="_x0000_s1095" style="position:absolute" from="1450,224" to="1455,224" strokecolor="#f79646 [3209]" strokeweight=".24pt"/>
            <v:line id="_x0000_s1096" style="position:absolute" from="1455,224" to="10354,224" strokecolor="#f79646 [3209]" strokeweight=".24pt"/>
            <v:line id="_x0000_s1097" style="position:absolute" from="10354,224" to="10359,224" strokecolor="#f79646 [3209]" strokeweight=".24pt"/>
            <v:line id="_x0000_s1098" style="position:absolute" from="10354,224" to="10359,224" strokecolor="#f79646 [3209]" strokeweight=".24pt"/>
            <w10:wrap type="topAndBottom" anchorx="page"/>
          </v:group>
        </w:pict>
      </w:r>
    </w:p>
    <w:sectPr w:rsidR="002D20D8" w:rsidRPr="002D20D8">
      <w:headerReference w:type="default" r:id="rId7"/>
      <w:footerReference w:type="default" r:id="rId8"/>
      <w:pgSz w:w="11910" w:h="16840"/>
      <w:pgMar w:top="2200" w:right="1420" w:bottom="880" w:left="1220" w:header="1433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BE" w:rsidRDefault="00AC71BE">
      <w:r>
        <w:separator/>
      </w:r>
    </w:p>
  </w:endnote>
  <w:endnote w:type="continuationSeparator" w:id="0">
    <w:p w:rsidR="00AC71BE" w:rsidRDefault="00AC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DC" w:rsidRDefault="002530D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pt;margin-top:792.95pt;width:9.75pt;height:14.1pt;z-index:-251658240;mso-position-horizontal-relative:page;mso-position-vertical-relative:page" filled="f" stroked="f">
          <v:textbox style="mso-next-textbox:#_x0000_s2049" inset="0,0,0,0">
            <w:txbxContent>
              <w:p w:rsidR="002530DC" w:rsidRDefault="002530DC">
                <w:pPr>
                  <w:pStyle w:val="BodyText"/>
                  <w:spacing w:before="26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9E53B9">
                  <w:rPr>
                    <w:rFonts w:ascii="Cambria"/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BE" w:rsidRDefault="00AC71BE">
      <w:r>
        <w:separator/>
      </w:r>
    </w:p>
  </w:footnote>
  <w:footnote w:type="continuationSeparator" w:id="0">
    <w:p w:rsidR="00AC71BE" w:rsidRDefault="00AC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DC" w:rsidRDefault="002530D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966697</wp:posOffset>
          </wp:positionH>
          <wp:positionV relativeFrom="page">
            <wp:posOffset>909995</wp:posOffset>
          </wp:positionV>
          <wp:extent cx="1155700" cy="495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0C7D"/>
    <w:multiLevelType w:val="hybridMultilevel"/>
    <w:tmpl w:val="9928325C"/>
    <w:lvl w:ilvl="0" w:tplc="6CD22E08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57F8547E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C2048CF0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3C24A16C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F969266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B8705264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5B123218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1C8A563A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44D61F04">
      <w:numFmt w:val="bullet"/>
      <w:lvlText w:val="•"/>
      <w:lvlJc w:val="left"/>
      <w:pPr>
        <w:ind w:left="4141" w:hanging="360"/>
      </w:pPr>
      <w:rPr>
        <w:rFonts w:hint="default"/>
      </w:rPr>
    </w:lvl>
  </w:abstractNum>
  <w:abstractNum w:abstractNumId="1" w15:restartNumberingAfterBreak="0">
    <w:nsid w:val="25927CC6"/>
    <w:multiLevelType w:val="hybridMultilevel"/>
    <w:tmpl w:val="24669E76"/>
    <w:lvl w:ilvl="0" w:tplc="829C11AC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3BF0F132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C4D0E52C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7CF2EBD4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B360E79E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4B927688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C61CBBC4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ECB68D4A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EF486396">
      <w:numFmt w:val="bullet"/>
      <w:lvlText w:val="•"/>
      <w:lvlJc w:val="left"/>
      <w:pPr>
        <w:ind w:left="4141" w:hanging="360"/>
      </w:pPr>
      <w:rPr>
        <w:rFonts w:hint="default"/>
      </w:rPr>
    </w:lvl>
  </w:abstractNum>
  <w:abstractNum w:abstractNumId="2" w15:restartNumberingAfterBreak="0">
    <w:nsid w:val="61041BE0"/>
    <w:multiLevelType w:val="hybridMultilevel"/>
    <w:tmpl w:val="4DAE7ECA"/>
    <w:lvl w:ilvl="0" w:tplc="4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0EB30F2"/>
    <w:multiLevelType w:val="hybridMultilevel"/>
    <w:tmpl w:val="F3DA8E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4C9"/>
    <w:multiLevelType w:val="hybridMultilevel"/>
    <w:tmpl w:val="1362F64C"/>
    <w:lvl w:ilvl="0" w:tplc="5E963488">
      <w:start w:val="2"/>
      <w:numFmt w:val="decimal"/>
      <w:lvlText w:val="%1."/>
      <w:lvlJc w:val="left"/>
      <w:pPr>
        <w:ind w:left="1895" w:hanging="360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</w:rPr>
    </w:lvl>
    <w:lvl w:ilvl="1" w:tplc="BC385C8A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96329D3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C0AAC35C">
      <w:numFmt w:val="bullet"/>
      <w:lvlText w:val="•"/>
      <w:lvlJc w:val="left"/>
      <w:pPr>
        <w:ind w:left="4109" w:hanging="360"/>
      </w:pPr>
      <w:rPr>
        <w:rFonts w:hint="default"/>
      </w:rPr>
    </w:lvl>
    <w:lvl w:ilvl="4" w:tplc="1402039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4440E162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036ED024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AA34232A"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5B60CA52"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5" w15:restartNumberingAfterBreak="0">
    <w:nsid w:val="7B9255B2"/>
    <w:multiLevelType w:val="hybridMultilevel"/>
    <w:tmpl w:val="98F6A766"/>
    <w:lvl w:ilvl="0" w:tplc="69F66006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374CB6EA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E59629B8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E74602FC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9F63764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581CC562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FB1891BE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9AECD8AC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D090C8E8">
      <w:numFmt w:val="bullet"/>
      <w:lvlText w:val="•"/>
      <w:lvlJc w:val="left"/>
      <w:pPr>
        <w:ind w:left="414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2AE"/>
    <w:rsid w:val="002530DC"/>
    <w:rsid w:val="002D20D8"/>
    <w:rsid w:val="00435A08"/>
    <w:rsid w:val="005B22AE"/>
    <w:rsid w:val="009E53B9"/>
    <w:rsid w:val="00AC71BE"/>
    <w:rsid w:val="00B1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3D1CF"/>
  <w15:docId w15:val="{FDA955D7-09BA-48B6-8B85-96549FF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895" w:hanging="360"/>
    </w:pPr>
  </w:style>
  <w:style w:type="paragraph" w:customStyle="1" w:styleId="TableParagraph">
    <w:name w:val="Table Paragraph"/>
    <w:basedOn w:val="Normal"/>
    <w:uiPriority w:val="1"/>
    <w:qFormat/>
    <w:pPr>
      <w:ind w:left="8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Toh</cp:lastModifiedBy>
  <cp:revision>5</cp:revision>
  <dcterms:created xsi:type="dcterms:W3CDTF">2018-01-04T08:17:00Z</dcterms:created>
  <dcterms:modified xsi:type="dcterms:W3CDTF">2018-01-04T06:39:00Z</dcterms:modified>
</cp:coreProperties>
</file>