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4135" w14:textId="3DCA08FF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30"/>
          <w:szCs w:val="30"/>
          <w:lang w:val="en-US"/>
        </w:rPr>
      </w:pPr>
      <w:r w:rsidRPr="00411C27">
        <w:rPr>
          <w:rFonts w:ascii="Arial" w:hAnsi="Arial" w:cs="Arial"/>
          <w:sz w:val="30"/>
          <w:szCs w:val="30"/>
          <w:lang w:val="en-US"/>
        </w:rPr>
        <w:t>Meeting Minutes (</w:t>
      </w:r>
      <w:r w:rsidR="004D4201">
        <w:rPr>
          <w:rFonts w:ascii="Arial" w:hAnsi="Arial" w:cs="Arial"/>
          <w:sz w:val="30"/>
          <w:szCs w:val="30"/>
          <w:lang w:val="en-US"/>
        </w:rPr>
        <w:t>Group</w:t>
      </w:r>
      <w:r w:rsidR="002F30FB">
        <w:rPr>
          <w:rFonts w:ascii="Arial" w:hAnsi="Arial" w:cs="Arial"/>
          <w:sz w:val="30"/>
          <w:szCs w:val="30"/>
          <w:lang w:val="en-US"/>
        </w:rPr>
        <w:t xml:space="preserve"> </w:t>
      </w:r>
      <w:r w:rsidR="004D4201">
        <w:rPr>
          <w:rFonts w:ascii="Arial" w:hAnsi="Arial" w:cs="Arial"/>
          <w:sz w:val="30"/>
          <w:szCs w:val="30"/>
          <w:lang w:val="en-US"/>
        </w:rPr>
        <w:t>Discussion #3</w:t>
      </w:r>
      <w:r w:rsidRPr="00411C27">
        <w:rPr>
          <w:rFonts w:ascii="Arial" w:hAnsi="Arial" w:cs="Arial"/>
          <w:sz w:val="30"/>
          <w:szCs w:val="30"/>
          <w:lang w:val="en-US"/>
        </w:rPr>
        <w:t>)</w:t>
      </w:r>
    </w:p>
    <w:p w14:paraId="277A40D5" w14:textId="2C32AB9B" w:rsidR="00BD4371" w:rsidRPr="00411C27" w:rsidRDefault="005F4802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Date:</w:t>
      </w:r>
      <w:r w:rsidR="00B130F8">
        <w:rPr>
          <w:rFonts w:ascii="Arial" w:hAnsi="Arial" w:cs="Arial"/>
          <w:sz w:val="22"/>
          <w:szCs w:val="22"/>
          <w:lang w:val="en-US"/>
        </w:rPr>
        <w:t xml:space="preserve"> 10</w:t>
      </w:r>
      <w:r w:rsidR="00E57DB8">
        <w:rPr>
          <w:rFonts w:ascii="Arial" w:hAnsi="Arial" w:cs="Arial"/>
          <w:sz w:val="22"/>
          <w:szCs w:val="22"/>
          <w:lang w:val="en-US"/>
        </w:rPr>
        <w:t xml:space="preserve"> Jan</w:t>
      </w:r>
      <w:r w:rsidR="006F3C8F">
        <w:rPr>
          <w:rFonts w:ascii="Arial" w:hAnsi="Arial" w:cs="Arial"/>
          <w:sz w:val="22"/>
          <w:szCs w:val="22"/>
          <w:lang w:val="en-US"/>
        </w:rPr>
        <w:t>uary</w:t>
      </w:r>
      <w:r w:rsidR="00E57DB8">
        <w:rPr>
          <w:rFonts w:ascii="Arial" w:hAnsi="Arial" w:cs="Arial"/>
          <w:sz w:val="22"/>
          <w:szCs w:val="22"/>
          <w:lang w:val="en-US"/>
        </w:rPr>
        <w:t xml:space="preserve"> 2018</w:t>
      </w:r>
      <w:bookmarkStart w:id="0" w:name="_GoBack"/>
      <w:bookmarkEnd w:id="0"/>
    </w:p>
    <w:p w14:paraId="1815F629" w14:textId="04BCAE61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Venue</w:t>
      </w:r>
      <w:r w:rsidR="000A5559">
        <w:rPr>
          <w:rFonts w:ascii="Arial" w:hAnsi="Arial" w:cs="Arial"/>
          <w:sz w:val="22"/>
          <w:szCs w:val="22"/>
          <w:lang w:val="en-US"/>
        </w:rPr>
        <w:t xml:space="preserve">: </w:t>
      </w:r>
      <w:r w:rsidR="004D4201">
        <w:rPr>
          <w:rFonts w:ascii="Arial" w:hAnsi="Arial" w:cs="Arial"/>
          <w:sz w:val="22"/>
          <w:szCs w:val="22"/>
          <w:lang w:val="en-US"/>
        </w:rPr>
        <w:t xml:space="preserve">Lee Kong </w:t>
      </w:r>
      <w:proofErr w:type="spellStart"/>
      <w:r w:rsidR="004D4201">
        <w:rPr>
          <w:rFonts w:ascii="Arial" w:hAnsi="Arial" w:cs="Arial"/>
          <w:sz w:val="22"/>
          <w:szCs w:val="22"/>
          <w:lang w:val="en-US"/>
        </w:rPr>
        <w:t>Chian</w:t>
      </w:r>
      <w:proofErr w:type="spellEnd"/>
      <w:r w:rsidR="004D4201">
        <w:rPr>
          <w:rFonts w:ascii="Arial" w:hAnsi="Arial" w:cs="Arial"/>
          <w:sz w:val="22"/>
          <w:szCs w:val="22"/>
          <w:lang w:val="en-US"/>
        </w:rPr>
        <w:t xml:space="preserve"> School of Business, GSR 3-3</w:t>
      </w:r>
    </w:p>
    <w:p w14:paraId="1D914103" w14:textId="557A72B7" w:rsidR="005F4802" w:rsidRPr="00411C27" w:rsidRDefault="005F4802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Participants:</w:t>
      </w:r>
      <w:r w:rsidR="000A5559">
        <w:rPr>
          <w:rFonts w:ascii="Arial" w:hAnsi="Arial" w:cs="Arial"/>
          <w:sz w:val="22"/>
          <w:szCs w:val="22"/>
          <w:lang w:val="en-US"/>
        </w:rPr>
        <w:t xml:space="preserve"> </w:t>
      </w:r>
      <w:r w:rsidR="00B130F8">
        <w:rPr>
          <w:rFonts w:ascii="Arial" w:hAnsi="Arial" w:cs="Arial"/>
          <w:sz w:val="22"/>
          <w:szCs w:val="22"/>
          <w:lang w:val="en-US"/>
        </w:rPr>
        <w:t xml:space="preserve">Aaron </w:t>
      </w:r>
      <w:proofErr w:type="spellStart"/>
      <w:r w:rsidR="00B130F8">
        <w:rPr>
          <w:rFonts w:ascii="Arial" w:hAnsi="Arial" w:cs="Arial"/>
          <w:sz w:val="22"/>
          <w:szCs w:val="22"/>
          <w:lang w:val="en-US"/>
        </w:rPr>
        <w:t>Poh</w:t>
      </w:r>
      <w:proofErr w:type="spellEnd"/>
      <w:r w:rsidR="00B130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130F8">
        <w:rPr>
          <w:rFonts w:ascii="Arial" w:hAnsi="Arial" w:cs="Arial"/>
          <w:sz w:val="22"/>
          <w:szCs w:val="22"/>
          <w:lang w:val="en-US"/>
        </w:rPr>
        <w:t>Weixin</w:t>
      </w:r>
      <w:proofErr w:type="spellEnd"/>
      <w:r w:rsidR="00B130F8">
        <w:rPr>
          <w:rFonts w:ascii="Arial" w:hAnsi="Arial" w:cs="Arial"/>
          <w:sz w:val="22"/>
          <w:szCs w:val="22"/>
          <w:lang w:val="en-US"/>
        </w:rPr>
        <w:t>,</w:t>
      </w:r>
      <w:r w:rsidR="00B130F8" w:rsidRPr="00B130F8">
        <w:rPr>
          <w:rFonts w:ascii="Arial" w:hAnsi="Arial" w:cs="Arial"/>
          <w:sz w:val="22"/>
          <w:szCs w:val="22"/>
          <w:lang w:val="en-US"/>
        </w:rPr>
        <w:t xml:space="preserve"> </w:t>
      </w:r>
      <w:r w:rsidR="00B130F8">
        <w:rPr>
          <w:rFonts w:ascii="Arial" w:hAnsi="Arial" w:cs="Arial"/>
          <w:sz w:val="22"/>
          <w:szCs w:val="22"/>
          <w:lang w:val="en-US"/>
        </w:rPr>
        <w:t>Leong Jia 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050"/>
        <w:gridCol w:w="1903"/>
        <w:gridCol w:w="1707"/>
      </w:tblGrid>
      <w:tr w:rsidR="006F3C8F" w:rsidRPr="005F4802" w14:paraId="1D042BBF" w14:textId="0DEDF8AD" w:rsidTr="004D4201">
        <w:trPr>
          <w:trHeight w:val="689"/>
        </w:trPr>
        <w:tc>
          <w:tcPr>
            <w:tcW w:w="350" w:type="dxa"/>
            <w:shd w:val="clear" w:color="auto" w:fill="FFF2CC" w:themeFill="accent4" w:themeFillTint="33"/>
            <w:vAlign w:val="bottom"/>
          </w:tcPr>
          <w:p w14:paraId="6877D9D1" w14:textId="77777777" w:rsidR="006F3C8F" w:rsidRPr="00411C27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11C27">
              <w:rPr>
                <w:rFonts w:ascii="Arial" w:hAnsi="Arial" w:cs="Arial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5050" w:type="dxa"/>
            <w:shd w:val="clear" w:color="auto" w:fill="FFF2CC" w:themeFill="accent4" w:themeFillTint="33"/>
            <w:vAlign w:val="bottom"/>
          </w:tcPr>
          <w:p w14:paraId="58EC1CF0" w14:textId="77777777" w:rsidR="006F3C8F" w:rsidRPr="000A5559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 w:rsidRPr="000A5559">
              <w:rPr>
                <w:rFonts w:ascii="Arial" w:hAnsi="Arial" w:cs="Arial"/>
                <w:b/>
                <w:sz w:val="22"/>
                <w:szCs w:val="24"/>
                <w:lang w:val="en-US"/>
              </w:rPr>
              <w:t>Discussion Content</w:t>
            </w:r>
          </w:p>
        </w:tc>
        <w:tc>
          <w:tcPr>
            <w:tcW w:w="1903" w:type="dxa"/>
            <w:shd w:val="clear" w:color="auto" w:fill="FFF2CC" w:themeFill="accent4" w:themeFillTint="33"/>
            <w:vAlign w:val="bottom"/>
          </w:tcPr>
          <w:p w14:paraId="751F003F" w14:textId="77777777" w:rsidR="006F3C8F" w:rsidRPr="000A5559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 w:rsidRPr="000A5559">
              <w:rPr>
                <w:rFonts w:ascii="Arial" w:hAnsi="Arial" w:cs="Arial"/>
                <w:b/>
                <w:sz w:val="22"/>
                <w:szCs w:val="24"/>
                <w:lang w:val="en-US"/>
              </w:rPr>
              <w:t>Purpose</w:t>
            </w:r>
          </w:p>
        </w:tc>
        <w:tc>
          <w:tcPr>
            <w:tcW w:w="1707" w:type="dxa"/>
            <w:shd w:val="clear" w:color="auto" w:fill="FFF2CC" w:themeFill="accent4" w:themeFillTint="33"/>
            <w:vAlign w:val="bottom"/>
          </w:tcPr>
          <w:p w14:paraId="7D69CBA7" w14:textId="0490818A" w:rsidR="006F3C8F" w:rsidRPr="000A5559" w:rsidRDefault="006F3C8F" w:rsidP="006F3C8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US"/>
              </w:rPr>
              <w:t>Action Taken</w:t>
            </w:r>
          </w:p>
        </w:tc>
      </w:tr>
      <w:tr w:rsidR="004D4201" w:rsidRPr="005F4802" w14:paraId="7350837A" w14:textId="77777777" w:rsidTr="004D4201">
        <w:trPr>
          <w:trHeight w:val="618"/>
        </w:trPr>
        <w:tc>
          <w:tcPr>
            <w:tcW w:w="350" w:type="dxa"/>
            <w:shd w:val="clear" w:color="auto" w:fill="auto"/>
          </w:tcPr>
          <w:p w14:paraId="71F5346B" w14:textId="2692D9EF" w:rsidR="004D4201" w:rsidRPr="00B130F8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>1</w:t>
            </w:r>
          </w:p>
        </w:tc>
        <w:tc>
          <w:tcPr>
            <w:tcW w:w="5050" w:type="dxa"/>
            <w:shd w:val="clear" w:color="auto" w:fill="auto"/>
          </w:tcPr>
          <w:p w14:paraId="66E8D4DF" w14:textId="70E1EECB" w:rsidR="004D4201" w:rsidRPr="004D4201" w:rsidRDefault="004D4201" w:rsidP="004D4201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iscussion about </w:t>
            </w:r>
            <w:proofErr w:type="spellStart"/>
            <w:r>
              <w:rPr>
                <w:rFonts w:ascii="Arial" w:hAnsi="Arial" w:cs="Arial"/>
                <w:lang w:val="en-US"/>
              </w:rPr>
              <w:t>Shereen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Boon </w:t>
            </w:r>
            <w:proofErr w:type="spellStart"/>
            <w:r>
              <w:rPr>
                <w:rFonts w:ascii="Arial" w:hAnsi="Arial" w:cs="Arial"/>
                <w:lang w:val="en-US"/>
              </w:rPr>
              <w:t>Khee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leaving the team</w:t>
            </w:r>
          </w:p>
        </w:tc>
        <w:tc>
          <w:tcPr>
            <w:tcW w:w="1903" w:type="dxa"/>
            <w:shd w:val="clear" w:color="auto" w:fill="auto"/>
          </w:tcPr>
          <w:p w14:paraId="0D3B4D5A" w14:textId="201A946C" w:rsidR="004D4201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Decided to continue with a two-man team</w:t>
            </w:r>
          </w:p>
        </w:tc>
        <w:tc>
          <w:tcPr>
            <w:tcW w:w="1707" w:type="dxa"/>
          </w:tcPr>
          <w:p w14:paraId="37131D1C" w14:textId="7564338D" w:rsidR="004D4201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6F3C8F" w:rsidRPr="005F4802" w14:paraId="0F18E9F5" w14:textId="5EB6B875" w:rsidTr="004D4201">
        <w:trPr>
          <w:trHeight w:val="2365"/>
        </w:trPr>
        <w:tc>
          <w:tcPr>
            <w:tcW w:w="350" w:type="dxa"/>
            <w:shd w:val="clear" w:color="auto" w:fill="auto"/>
          </w:tcPr>
          <w:p w14:paraId="0C128EBC" w14:textId="4BD7195E" w:rsidR="006F3C8F" w:rsidRPr="00B130F8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>2</w:t>
            </w:r>
          </w:p>
        </w:tc>
        <w:tc>
          <w:tcPr>
            <w:tcW w:w="5050" w:type="dxa"/>
            <w:shd w:val="clear" w:color="auto" w:fill="auto"/>
          </w:tcPr>
          <w:p w14:paraId="091E3A56" w14:textId="77777777" w:rsidR="004D4201" w:rsidRPr="004D4201" w:rsidRDefault="004D4201" w:rsidP="004D42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201">
              <w:rPr>
                <w:rFonts w:ascii="Arial" w:hAnsi="Arial" w:cs="Arial"/>
                <w:color w:val="000000"/>
              </w:rPr>
              <w:t>Comparison with Existing Population survey on the Arts Research</w:t>
            </w:r>
          </w:p>
          <w:p w14:paraId="67B0A545" w14:textId="77777777" w:rsidR="004D4201" w:rsidRPr="004D4201" w:rsidRDefault="004D4201" w:rsidP="004D42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201">
              <w:rPr>
                <w:rFonts w:ascii="Arial" w:hAnsi="Arial" w:cs="Arial"/>
                <w:color w:val="000000"/>
              </w:rPr>
              <w:t>Type of analysis available</w:t>
            </w:r>
          </w:p>
          <w:p w14:paraId="7EC13276" w14:textId="77777777" w:rsidR="004D4201" w:rsidRPr="004D4201" w:rsidRDefault="004D4201" w:rsidP="004D4201">
            <w:pPr>
              <w:numPr>
                <w:ilvl w:val="0"/>
                <w:numId w:val="38"/>
              </w:numPr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>Snake chart on perceptions on the arts</w:t>
            </w:r>
          </w:p>
          <w:p w14:paraId="54B9D65F" w14:textId="77777777" w:rsidR="004D4201" w:rsidRPr="004D4201" w:rsidRDefault="004D4201" w:rsidP="004D4201">
            <w:pPr>
              <w:numPr>
                <w:ilvl w:val="0"/>
                <w:numId w:val="38"/>
              </w:numPr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>Spider chart compared to 5 years ago on the perception of arts -- developments</w:t>
            </w:r>
          </w:p>
          <w:p w14:paraId="7861DDF0" w14:textId="77777777" w:rsidR="004D4201" w:rsidRPr="004D4201" w:rsidRDefault="004D4201" w:rsidP="004D4201">
            <w:pPr>
              <w:numPr>
                <w:ilvl w:val="0"/>
                <w:numId w:val="38"/>
              </w:numPr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>Bar chart comparing 2013 and 2015 on consumption of arts on digital media</w:t>
            </w:r>
          </w:p>
          <w:p w14:paraId="3EFA8B47" w14:textId="38AD7157" w:rsidR="00B130F8" w:rsidRPr="004D4201" w:rsidRDefault="004D4201" w:rsidP="004D4201">
            <w:pPr>
              <w:numPr>
                <w:ilvl w:val="0"/>
                <w:numId w:val="38"/>
              </w:numPr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>Line chart on attendance over time and participatio</w:t>
            </w: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903" w:type="dxa"/>
            <w:shd w:val="clear" w:color="auto" w:fill="auto"/>
          </w:tcPr>
          <w:p w14:paraId="2CBDF97D" w14:textId="22FD99A8" w:rsidR="00B130F8" w:rsidRPr="006F3C8F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Attempt to deviate from existing analysis from NAC. Reduction of overlaps in analysis</w:t>
            </w:r>
          </w:p>
        </w:tc>
        <w:tc>
          <w:tcPr>
            <w:tcW w:w="1707" w:type="dxa"/>
          </w:tcPr>
          <w:p w14:paraId="22CF44D6" w14:textId="74F202D4" w:rsidR="006F3C8F" w:rsidRPr="006F3C8F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of National Population Survey Research Paper 2015</w:t>
            </w:r>
          </w:p>
        </w:tc>
      </w:tr>
      <w:tr w:rsidR="00B130F8" w:rsidRPr="005F4802" w14:paraId="2EA4EFFA" w14:textId="77777777" w:rsidTr="006F3C8F">
        <w:trPr>
          <w:trHeight w:val="661"/>
        </w:trPr>
        <w:tc>
          <w:tcPr>
            <w:tcW w:w="350" w:type="dxa"/>
            <w:shd w:val="clear" w:color="auto" w:fill="auto"/>
          </w:tcPr>
          <w:p w14:paraId="3386F5AF" w14:textId="71CD8699" w:rsidR="00B130F8" w:rsidRPr="00B130F8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>3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6A48993F" w14:textId="77777777" w:rsidR="004D4201" w:rsidRPr="004D4201" w:rsidRDefault="004D4201" w:rsidP="004D42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201">
              <w:rPr>
                <w:rFonts w:ascii="Arial" w:hAnsi="Arial" w:cs="Arial"/>
                <w:color w:val="000000"/>
              </w:rPr>
              <w:t>Possible analysis (Potential scope)</w:t>
            </w:r>
          </w:p>
          <w:p w14:paraId="7E2BEE69" w14:textId="77777777" w:rsidR="004D4201" w:rsidRPr="004D4201" w:rsidRDefault="004D4201" w:rsidP="004D4201">
            <w:pPr>
              <w:numPr>
                <w:ilvl w:val="0"/>
                <w:numId w:val="39"/>
              </w:numPr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 xml:space="preserve">Filter to only those who are paying -- understand the motivations for why they pay </w:t>
            </w:r>
          </w:p>
          <w:p w14:paraId="76661AE4" w14:textId="77777777" w:rsidR="004D4201" w:rsidRPr="004D4201" w:rsidRDefault="004D4201" w:rsidP="004D4201">
            <w:pPr>
              <w:numPr>
                <w:ilvl w:val="1"/>
                <w:numId w:val="40"/>
              </w:numPr>
              <w:ind w:left="1440" w:hanging="360"/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 xml:space="preserve">Can be gathered through question C5 </w:t>
            </w:r>
          </w:p>
          <w:p w14:paraId="46229AA2" w14:textId="77777777" w:rsidR="004D4201" w:rsidRPr="004D4201" w:rsidRDefault="004D4201" w:rsidP="004D4201">
            <w:pPr>
              <w:numPr>
                <w:ilvl w:val="1"/>
                <w:numId w:val="40"/>
              </w:numPr>
              <w:ind w:left="1440" w:hanging="360"/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 xml:space="preserve">Find the correlations (pair-wise correlations/ multiple correlation) behind reasons for them attending. </w:t>
            </w:r>
          </w:p>
          <w:p w14:paraId="389311CB" w14:textId="77777777" w:rsidR="004D4201" w:rsidRPr="004D4201" w:rsidRDefault="004D4201" w:rsidP="004D4201">
            <w:pPr>
              <w:numPr>
                <w:ilvl w:val="1"/>
                <w:numId w:val="40"/>
              </w:numPr>
              <w:ind w:left="1440" w:hanging="360"/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 xml:space="preserve">Look at percentage </w:t>
            </w:r>
          </w:p>
          <w:p w14:paraId="7D1E6385" w14:textId="77777777" w:rsidR="004D4201" w:rsidRPr="004D4201" w:rsidRDefault="004D4201" w:rsidP="004D4201">
            <w:pPr>
              <w:numPr>
                <w:ilvl w:val="1"/>
                <w:numId w:val="40"/>
              </w:numPr>
              <w:ind w:left="1440" w:hanging="360"/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>To increase margins/profits: How to increase attendance or increase frequency or Increase the percentage of them paying</w:t>
            </w:r>
          </w:p>
          <w:p w14:paraId="11DCF029" w14:textId="77777777" w:rsidR="004D4201" w:rsidRPr="004D4201" w:rsidRDefault="004D4201" w:rsidP="004D4201">
            <w:pPr>
              <w:numPr>
                <w:ilvl w:val="1"/>
                <w:numId w:val="40"/>
              </w:numPr>
              <w:ind w:left="1440" w:hanging="360"/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>Ultimately creating a marketing strategy to get people to pay for arts events</w:t>
            </w:r>
          </w:p>
          <w:p w14:paraId="63F61EB2" w14:textId="77777777" w:rsidR="004D4201" w:rsidRPr="004D4201" w:rsidRDefault="004D4201" w:rsidP="004D4201">
            <w:pPr>
              <w:numPr>
                <w:ilvl w:val="1"/>
                <w:numId w:val="40"/>
              </w:numPr>
              <w:ind w:left="1440" w:hanging="360"/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>For those who are currently not paying -- understand why they are not paying or factors they are dissatisfied with</w:t>
            </w:r>
          </w:p>
          <w:p w14:paraId="74048FA4" w14:textId="77777777" w:rsidR="004D4201" w:rsidRPr="004D4201" w:rsidRDefault="004D4201" w:rsidP="004D4201">
            <w:pPr>
              <w:numPr>
                <w:ilvl w:val="1"/>
                <w:numId w:val="40"/>
              </w:numPr>
              <w:ind w:left="1440" w:hanging="360"/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>Also gathered through question C5</w:t>
            </w:r>
          </w:p>
          <w:p w14:paraId="5B8BFC23" w14:textId="5B7A9C69" w:rsidR="00B130F8" w:rsidRPr="004D4201" w:rsidRDefault="004D4201" w:rsidP="004D4201">
            <w:pPr>
              <w:numPr>
                <w:ilvl w:val="1"/>
                <w:numId w:val="40"/>
              </w:numPr>
              <w:ind w:left="1440" w:hanging="360"/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>So if we focus on C5.1, we can find out</w:t>
            </w:r>
          </w:p>
        </w:tc>
        <w:tc>
          <w:tcPr>
            <w:tcW w:w="1903" w:type="dxa"/>
            <w:shd w:val="clear" w:color="auto" w:fill="auto"/>
          </w:tcPr>
          <w:p w14:paraId="2454A215" w14:textId="7D53F84A" w:rsidR="00B130F8" w:rsidRPr="006F3C8F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Deepdiving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into Prof. Kam’s suggestion on cross-tabulations of high-value audiences</w:t>
            </w:r>
          </w:p>
        </w:tc>
        <w:tc>
          <w:tcPr>
            <w:tcW w:w="1707" w:type="dxa"/>
          </w:tcPr>
          <w:p w14:paraId="5DDAD186" w14:textId="7553F8BC" w:rsidR="00B130F8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Streamlining of new project scope</w:t>
            </w:r>
          </w:p>
        </w:tc>
      </w:tr>
      <w:tr w:rsidR="00B130F8" w:rsidRPr="005F4802" w14:paraId="43D36A46" w14:textId="77777777" w:rsidTr="004D4201">
        <w:trPr>
          <w:trHeight w:val="870"/>
        </w:trPr>
        <w:tc>
          <w:tcPr>
            <w:tcW w:w="350" w:type="dxa"/>
            <w:shd w:val="clear" w:color="auto" w:fill="auto"/>
          </w:tcPr>
          <w:p w14:paraId="4BA43497" w14:textId="77822179" w:rsidR="00B130F8" w:rsidRP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B130F8">
              <w:rPr>
                <w:rFonts w:ascii="Arial" w:hAnsi="Arial" w:cs="Arial"/>
                <w:sz w:val="22"/>
                <w:szCs w:val="24"/>
                <w:lang w:val="en-US"/>
              </w:rPr>
              <w:t>3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75827266" w14:textId="7400E7D8" w:rsidR="00B130F8" w:rsidRPr="00B130F8" w:rsidRDefault="004D4201" w:rsidP="004D4201">
            <w:pPr>
              <w:jc w:val="left"/>
              <w:textAlignment w:val="baseline"/>
              <w:rPr>
                <w:rFonts w:ascii="Arial" w:hAnsi="Arial" w:cs="Arial"/>
                <w:color w:val="000000"/>
              </w:rPr>
            </w:pPr>
            <w:r w:rsidRPr="004D4201">
              <w:rPr>
                <w:rFonts w:ascii="Arial" w:hAnsi="Arial" w:cs="Arial"/>
                <w:color w:val="000000"/>
              </w:rPr>
              <w:t xml:space="preserve">Using Market basket analysis, identify the </w:t>
            </w:r>
            <w:r>
              <w:rPr>
                <w:rFonts w:ascii="Arial" w:hAnsi="Arial" w:cs="Arial"/>
                <w:color w:val="000000"/>
              </w:rPr>
              <w:t xml:space="preserve">associations between different art forms. If one art form is especially profitable and its attendance levels are highly correlated with that of other art forms, then there is a potential in forming a recommendation based on this. </w:t>
            </w:r>
          </w:p>
        </w:tc>
        <w:tc>
          <w:tcPr>
            <w:tcW w:w="1903" w:type="dxa"/>
            <w:shd w:val="clear" w:color="auto" w:fill="auto"/>
          </w:tcPr>
          <w:p w14:paraId="286BA253" w14:textId="317A48EC" w:rsidR="00B130F8" w:rsidRPr="006F3C8F" w:rsidRDefault="004D4201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Deep-diving into market basket associations as a back-up plan</w:t>
            </w:r>
          </w:p>
        </w:tc>
        <w:tc>
          <w:tcPr>
            <w:tcW w:w="1707" w:type="dxa"/>
          </w:tcPr>
          <w:p w14:paraId="443F19F3" w14:textId="6A1BFF86" w:rsid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14:paraId="4E35DA74" w14:textId="37025F77" w:rsidR="00411C27" w:rsidRPr="00CF48B2" w:rsidRDefault="00411C27" w:rsidP="00CF48B2">
      <w:pPr>
        <w:rPr>
          <w:rFonts w:ascii="Arial" w:hAnsi="Arial" w:cs="Arial"/>
          <w:sz w:val="30"/>
          <w:szCs w:val="30"/>
          <w:u w:val="single"/>
          <w:lang w:val="en-US"/>
        </w:rPr>
      </w:pPr>
    </w:p>
    <w:sectPr w:rsidR="00411C27" w:rsidRPr="00CF48B2" w:rsidSect="008029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33B"/>
    <w:multiLevelType w:val="multilevel"/>
    <w:tmpl w:val="366C3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55A4"/>
    <w:multiLevelType w:val="multilevel"/>
    <w:tmpl w:val="9EE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14D3"/>
    <w:multiLevelType w:val="multilevel"/>
    <w:tmpl w:val="0C5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210F7"/>
    <w:multiLevelType w:val="multilevel"/>
    <w:tmpl w:val="F63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27FF9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71D98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13BAD"/>
    <w:multiLevelType w:val="multilevel"/>
    <w:tmpl w:val="57E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60415"/>
    <w:multiLevelType w:val="multilevel"/>
    <w:tmpl w:val="366C3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16106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64C26"/>
    <w:multiLevelType w:val="multilevel"/>
    <w:tmpl w:val="1A8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2104D"/>
    <w:multiLevelType w:val="multilevel"/>
    <w:tmpl w:val="366C3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C37C5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07658"/>
    <w:multiLevelType w:val="multilevel"/>
    <w:tmpl w:val="B27C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B00B0"/>
    <w:multiLevelType w:val="multilevel"/>
    <w:tmpl w:val="24C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040AF"/>
    <w:multiLevelType w:val="multilevel"/>
    <w:tmpl w:val="94D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2381B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21CD8"/>
    <w:multiLevelType w:val="multilevel"/>
    <w:tmpl w:val="366C3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11E1E"/>
    <w:multiLevelType w:val="multilevel"/>
    <w:tmpl w:val="214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0407D3"/>
    <w:multiLevelType w:val="multilevel"/>
    <w:tmpl w:val="B6AE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70799"/>
    <w:multiLevelType w:val="multilevel"/>
    <w:tmpl w:val="5FC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65579C"/>
    <w:multiLevelType w:val="multilevel"/>
    <w:tmpl w:val="639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AE5725"/>
    <w:multiLevelType w:val="multilevel"/>
    <w:tmpl w:val="18141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C19F8"/>
    <w:multiLevelType w:val="multilevel"/>
    <w:tmpl w:val="F08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1E6B54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1745A"/>
    <w:multiLevelType w:val="multilevel"/>
    <w:tmpl w:val="366C3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37587B"/>
    <w:multiLevelType w:val="multilevel"/>
    <w:tmpl w:val="5D68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A691A"/>
    <w:multiLevelType w:val="multilevel"/>
    <w:tmpl w:val="D04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A7DC6"/>
    <w:multiLevelType w:val="multilevel"/>
    <w:tmpl w:val="D92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9330FC"/>
    <w:multiLevelType w:val="multilevel"/>
    <w:tmpl w:val="DBB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3667B"/>
    <w:multiLevelType w:val="multilevel"/>
    <w:tmpl w:val="94A2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432FA"/>
    <w:multiLevelType w:val="multilevel"/>
    <w:tmpl w:val="7D82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67714"/>
    <w:multiLevelType w:val="multilevel"/>
    <w:tmpl w:val="F5D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3D2B70"/>
    <w:multiLevelType w:val="multilevel"/>
    <w:tmpl w:val="3A6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DE6B01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13"/>
  </w:num>
  <w:num w:numId="5">
    <w:abstractNumId w:val="17"/>
  </w:num>
  <w:num w:numId="6">
    <w:abstractNumId w:val="6"/>
  </w:num>
  <w:num w:numId="7">
    <w:abstractNumId w:val="26"/>
  </w:num>
  <w:num w:numId="8">
    <w:abstractNumId w:val="3"/>
  </w:num>
  <w:num w:numId="9">
    <w:abstractNumId w:val="20"/>
  </w:num>
  <w:num w:numId="10">
    <w:abstractNumId w:val="1"/>
  </w:num>
  <w:num w:numId="11">
    <w:abstractNumId w:val="11"/>
  </w:num>
  <w:num w:numId="12">
    <w:abstractNumId w:val="15"/>
  </w:num>
  <w:num w:numId="13">
    <w:abstractNumId w:val="22"/>
  </w:num>
  <w:num w:numId="14">
    <w:abstractNumId w:val="30"/>
  </w:num>
  <w:num w:numId="15">
    <w:abstractNumId w:val="19"/>
  </w:num>
  <w:num w:numId="16">
    <w:abstractNumId w:val="29"/>
  </w:num>
  <w:num w:numId="17">
    <w:abstractNumId w:val="5"/>
  </w:num>
  <w:num w:numId="18">
    <w:abstractNumId w:val="33"/>
  </w:num>
  <w:num w:numId="19">
    <w:abstractNumId w:val="23"/>
  </w:num>
  <w:num w:numId="20">
    <w:abstractNumId w:val="23"/>
    <w:lvlOverride w:ilvl="1">
      <w:lvl w:ilvl="1">
        <w:numFmt w:val="lowerLetter"/>
        <w:lvlText w:val="%2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12"/>
  </w:num>
  <w:num w:numId="25">
    <w:abstractNumId w:val="31"/>
  </w:num>
  <w:num w:numId="26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8"/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24"/>
    <w:lvlOverride w:ilvl="0">
      <w:lvl w:ilvl="0">
        <w:numFmt w:val="decimal"/>
        <w:lvlText w:val="%1."/>
        <w:lvlJc w:val="left"/>
      </w:lvl>
    </w:lvlOverride>
  </w:num>
  <w:num w:numId="33">
    <w:abstractNumId w:val="28"/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32"/>
  </w:num>
  <w:num w:numId="36">
    <w:abstractNumId w:val="14"/>
  </w:num>
  <w:num w:numId="37">
    <w:abstractNumId w:val="9"/>
  </w:num>
  <w:num w:numId="38">
    <w:abstractNumId w:val="18"/>
  </w:num>
  <w:num w:numId="39">
    <w:abstractNumId w:val="4"/>
  </w:num>
  <w:num w:numId="40">
    <w:abstractNumId w:val="4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5"/>
    <w:rsid w:val="000A5559"/>
    <w:rsid w:val="001E2904"/>
    <w:rsid w:val="002F30FB"/>
    <w:rsid w:val="00411C27"/>
    <w:rsid w:val="004D4201"/>
    <w:rsid w:val="005F4802"/>
    <w:rsid w:val="0068674C"/>
    <w:rsid w:val="006F3C8F"/>
    <w:rsid w:val="007328F5"/>
    <w:rsid w:val="00756E21"/>
    <w:rsid w:val="0080299D"/>
    <w:rsid w:val="008A2873"/>
    <w:rsid w:val="008D0FA5"/>
    <w:rsid w:val="00933FA3"/>
    <w:rsid w:val="009B2005"/>
    <w:rsid w:val="00A531A0"/>
    <w:rsid w:val="00A55D50"/>
    <w:rsid w:val="00B130F8"/>
    <w:rsid w:val="00C16286"/>
    <w:rsid w:val="00CA6AE1"/>
    <w:rsid w:val="00CF48B2"/>
    <w:rsid w:val="00E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3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005"/>
  </w:style>
  <w:style w:type="paragraph" w:styleId="Heading1">
    <w:name w:val="heading 1"/>
    <w:basedOn w:val="Normal"/>
    <w:next w:val="Normal"/>
    <w:link w:val="Heading1Char"/>
    <w:uiPriority w:val="9"/>
    <w:qFormat/>
    <w:rsid w:val="009B20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0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0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0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0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0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0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0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0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0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0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00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00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0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0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0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0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0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0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00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200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0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200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B2005"/>
    <w:rPr>
      <w:b/>
      <w:color w:val="ED7D31" w:themeColor="accent2"/>
    </w:rPr>
  </w:style>
  <w:style w:type="character" w:styleId="Emphasis">
    <w:name w:val="Emphasis"/>
    <w:uiPriority w:val="20"/>
    <w:qFormat/>
    <w:rsid w:val="009B200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20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2005"/>
  </w:style>
  <w:style w:type="paragraph" w:styleId="ListParagraph">
    <w:name w:val="List Paragraph"/>
    <w:basedOn w:val="Normal"/>
    <w:uiPriority w:val="34"/>
    <w:qFormat/>
    <w:rsid w:val="009B20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0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00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00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00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B2005"/>
    <w:rPr>
      <w:i/>
    </w:rPr>
  </w:style>
  <w:style w:type="character" w:styleId="IntenseEmphasis">
    <w:name w:val="Intense Emphasis"/>
    <w:uiPriority w:val="21"/>
    <w:qFormat/>
    <w:rsid w:val="009B200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B2005"/>
    <w:rPr>
      <w:b/>
    </w:rPr>
  </w:style>
  <w:style w:type="character" w:styleId="IntenseReference">
    <w:name w:val="Intense Reference"/>
    <w:uiPriority w:val="32"/>
    <w:qFormat/>
    <w:rsid w:val="009B20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B20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005"/>
    <w:pPr>
      <w:outlineLvl w:val="9"/>
    </w:pPr>
  </w:style>
  <w:style w:type="table" w:styleId="TableGrid">
    <w:name w:val="Table Grid"/>
    <w:basedOn w:val="TableNormal"/>
    <w:uiPriority w:val="39"/>
    <w:rsid w:val="005F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8B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2018-01-14T12:34:00Z</dcterms:created>
  <dcterms:modified xsi:type="dcterms:W3CDTF">2018-01-14T13:50:00Z</dcterms:modified>
</cp:coreProperties>
</file>