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3"/>
        <w:gridCol w:w="1361"/>
        <w:gridCol w:w="2126"/>
      </w:tblGrid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bookmarkStart w:id="0" w:name="_GoBack" w:colFirst="1" w:colLast="1"/>
            <w:r>
              <w:t xml:space="preserve">Meeting with: </w:t>
            </w:r>
          </w:p>
        </w:tc>
        <w:tc>
          <w:tcPr>
            <w:tcW w:w="3833" w:type="dxa"/>
          </w:tcPr>
          <w:p w:rsidR="00095452" w:rsidRDefault="00095452">
            <w:r>
              <w:t>SMU Library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No: </w:t>
            </w:r>
          </w:p>
        </w:tc>
        <w:tc>
          <w:tcPr>
            <w:tcW w:w="2126" w:type="dxa"/>
          </w:tcPr>
          <w:p w:rsidR="00095452" w:rsidRDefault="00095452">
            <w:r>
              <w:t>1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>Date and Time:</w:t>
            </w:r>
          </w:p>
        </w:tc>
        <w:tc>
          <w:tcPr>
            <w:tcW w:w="3833" w:type="dxa"/>
          </w:tcPr>
          <w:p w:rsidR="00095452" w:rsidRDefault="00095452">
            <w:r>
              <w:t>12/1/18, 1500H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Venue: </w:t>
            </w:r>
          </w:p>
        </w:tc>
        <w:tc>
          <w:tcPr>
            <w:tcW w:w="2126" w:type="dxa"/>
          </w:tcPr>
          <w:p w:rsidR="00095452" w:rsidRDefault="00095452">
            <w:r>
              <w:t>LKS Library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Present: </w:t>
            </w:r>
          </w:p>
        </w:tc>
        <w:tc>
          <w:tcPr>
            <w:tcW w:w="3833" w:type="dxa"/>
          </w:tcPr>
          <w:p w:rsidR="00095452" w:rsidRDefault="00095452">
            <w:r>
              <w:t>Aaron, Louis, Damien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Absent: </w:t>
            </w:r>
          </w:p>
        </w:tc>
        <w:tc>
          <w:tcPr>
            <w:tcW w:w="2126" w:type="dxa"/>
          </w:tcPr>
          <w:p w:rsidR="00095452" w:rsidRDefault="00095452">
            <w:r>
              <w:t>Lewis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Agenda: </w:t>
            </w:r>
          </w:p>
        </w:tc>
        <w:tc>
          <w:tcPr>
            <w:tcW w:w="3833" w:type="dxa"/>
          </w:tcPr>
          <w:p w:rsidR="00095452" w:rsidRDefault="00095452">
            <w:r>
              <w:t>Project Introduction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/>
        </w:tc>
        <w:tc>
          <w:tcPr>
            <w:tcW w:w="2126" w:type="dxa"/>
          </w:tcPr>
          <w:p w:rsidR="00095452" w:rsidRDefault="00095452"/>
        </w:tc>
      </w:tr>
      <w:bookmarkEnd w:id="0"/>
    </w:tbl>
    <w:p w:rsidR="00D42E13" w:rsidRDefault="00810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4417"/>
        <w:gridCol w:w="1442"/>
        <w:gridCol w:w="1200"/>
      </w:tblGrid>
      <w:tr w:rsidR="009A2971" w:rsidTr="003F2098">
        <w:tc>
          <w:tcPr>
            <w:tcW w:w="1957" w:type="dxa"/>
            <w:shd w:val="clear" w:color="auto" w:fill="1F3864" w:themeFill="accent1" w:themeFillShade="80"/>
          </w:tcPr>
          <w:p w:rsidR="00F17DCD" w:rsidRDefault="00F17DCD">
            <w:r>
              <w:t>Topic</w:t>
            </w:r>
          </w:p>
        </w:tc>
        <w:tc>
          <w:tcPr>
            <w:tcW w:w="4417" w:type="dxa"/>
            <w:shd w:val="clear" w:color="auto" w:fill="1F3864" w:themeFill="accent1" w:themeFillShade="80"/>
          </w:tcPr>
          <w:p w:rsidR="00F17DCD" w:rsidRDefault="00F17DCD">
            <w:r>
              <w:t>Details</w:t>
            </w:r>
          </w:p>
        </w:tc>
        <w:tc>
          <w:tcPr>
            <w:tcW w:w="1442" w:type="dxa"/>
            <w:shd w:val="clear" w:color="auto" w:fill="1F3864" w:themeFill="accent1" w:themeFillShade="80"/>
          </w:tcPr>
          <w:p w:rsidR="00F17DCD" w:rsidRDefault="00F17DCD">
            <w:r>
              <w:t>Follow up</w:t>
            </w:r>
          </w:p>
        </w:tc>
        <w:tc>
          <w:tcPr>
            <w:tcW w:w="1200" w:type="dxa"/>
            <w:shd w:val="clear" w:color="auto" w:fill="1F3864" w:themeFill="accent1" w:themeFillShade="80"/>
          </w:tcPr>
          <w:p w:rsidR="00F17DCD" w:rsidRDefault="00F17DCD">
            <w:r>
              <w:t>Completed</w:t>
            </w:r>
          </w:p>
        </w:tc>
      </w:tr>
      <w:tr w:rsidR="009A2971" w:rsidTr="00F918A4">
        <w:tc>
          <w:tcPr>
            <w:tcW w:w="1957" w:type="dxa"/>
            <w:shd w:val="clear" w:color="auto" w:fill="auto"/>
          </w:tcPr>
          <w:p w:rsidR="00F17DCD" w:rsidRDefault="00184925">
            <w:r>
              <w:t>Current Situation</w:t>
            </w:r>
          </w:p>
        </w:tc>
        <w:tc>
          <w:tcPr>
            <w:tcW w:w="4417" w:type="dxa"/>
            <w:shd w:val="clear" w:color="auto" w:fill="auto"/>
          </w:tcPr>
          <w:p w:rsidR="00F17DCD" w:rsidRDefault="00184925" w:rsidP="003F2098">
            <w:pPr>
              <w:jc w:val="both"/>
            </w:pPr>
            <w:r>
              <w:t>SMU Library has databases who provides e-books to students and staff (collectively known as “users”) for reference and work purposes. At the moment, a particular database (“JSOR”) is under the patron driven acquisition (PDA) which allows SMU</w:t>
            </w:r>
            <w:r w:rsidR="00764613">
              <w:t xml:space="preserve"> library</w:t>
            </w:r>
            <w:r>
              <w:t xml:space="preserve"> to list unpurchased books as “available” to users. </w:t>
            </w:r>
          </w:p>
          <w:p w:rsidR="00184925" w:rsidRDefault="00184925" w:rsidP="003F2098">
            <w:pPr>
              <w:jc w:val="both"/>
            </w:pPr>
          </w:p>
          <w:p w:rsidR="00184925" w:rsidRDefault="00184925" w:rsidP="003F2098">
            <w:pPr>
              <w:jc w:val="both"/>
            </w:pPr>
            <w:r>
              <w:t>How PDA works:</w:t>
            </w:r>
          </w:p>
          <w:p w:rsidR="00184925" w:rsidRDefault="00184925" w:rsidP="003F2098">
            <w:pPr>
              <w:jc w:val="both"/>
            </w:pPr>
            <w:r>
              <w:t>When e-book is access by users, a log data is created and stored which upon meeting some business rules (“trigger point”)</w:t>
            </w:r>
            <w:r w:rsidR="00764613">
              <w:t xml:space="preserve"> such as number of downloads, pages viewed etc,</w:t>
            </w:r>
            <w:r>
              <w:t xml:space="preserve"> an automatic purchase of the e-books on the merchant side. </w:t>
            </w:r>
          </w:p>
          <w:p w:rsidR="00184925" w:rsidRDefault="00184925" w:rsidP="003F2098">
            <w:pPr>
              <w:jc w:val="both"/>
            </w:pPr>
          </w:p>
          <w:p w:rsidR="00184925" w:rsidRDefault="00764613" w:rsidP="003F2098">
            <w:pPr>
              <w:jc w:val="both"/>
            </w:pPr>
            <w:r>
              <w:t xml:space="preserve">Looking at the current data, Aaron has noted that some e-book purchases were trigger by a single unique user due to repeated access. As such, it diminished the effective of the library funds allocation to PDA as the book is not widely used across SMU. </w:t>
            </w:r>
          </w:p>
        </w:tc>
        <w:tc>
          <w:tcPr>
            <w:tcW w:w="1442" w:type="dxa"/>
            <w:shd w:val="clear" w:color="auto" w:fill="auto"/>
          </w:tcPr>
          <w:p w:rsidR="00F17DCD" w:rsidRDefault="009A2971" w:rsidP="003F2098">
            <w:pPr>
              <w:jc w:val="both"/>
            </w:pPr>
            <w:r>
              <w:t>NA</w:t>
            </w:r>
          </w:p>
        </w:tc>
        <w:tc>
          <w:tcPr>
            <w:tcW w:w="1200" w:type="dxa"/>
            <w:shd w:val="clear" w:color="auto" w:fill="auto"/>
          </w:tcPr>
          <w:p w:rsidR="00F17DCD" w:rsidRDefault="00F17DCD"/>
        </w:tc>
      </w:tr>
      <w:tr w:rsidR="009A2971" w:rsidTr="00F918A4">
        <w:tc>
          <w:tcPr>
            <w:tcW w:w="1957" w:type="dxa"/>
            <w:shd w:val="clear" w:color="auto" w:fill="auto"/>
          </w:tcPr>
          <w:p w:rsidR="00F17DCD" w:rsidRDefault="00764613">
            <w:r>
              <w:t>Understanding the data</w:t>
            </w:r>
          </w:p>
        </w:tc>
        <w:tc>
          <w:tcPr>
            <w:tcW w:w="4417" w:type="dxa"/>
            <w:shd w:val="clear" w:color="auto" w:fill="auto"/>
          </w:tcPr>
          <w:p w:rsidR="00F17DCD" w:rsidRDefault="00764613" w:rsidP="003F2098">
            <w:pPr>
              <w:jc w:val="both"/>
            </w:pPr>
            <w:r>
              <w:t xml:space="preserve">Data format is the either txt or JSON format. </w:t>
            </w:r>
          </w:p>
          <w:p w:rsidR="00764613" w:rsidRDefault="00764613" w:rsidP="003F2098">
            <w:pPr>
              <w:jc w:val="both"/>
            </w:pPr>
            <w:r>
              <w:t>Data contains an easy proxy log, user ID, timestamp, GET request</w:t>
            </w:r>
            <w:r w:rsidR="009A2971">
              <w:t xml:space="preserve">, query, referral page. Other parts of the data mentioned were trivial and were told to ignored or clarify later if necessary.  </w:t>
            </w:r>
          </w:p>
          <w:p w:rsidR="009A2971" w:rsidRDefault="009A2971" w:rsidP="003F2098">
            <w:pPr>
              <w:jc w:val="both"/>
            </w:pPr>
          </w:p>
          <w:p w:rsidR="00764613" w:rsidRDefault="009A2971" w:rsidP="003F2098">
            <w:pPr>
              <w:jc w:val="both"/>
            </w:pPr>
            <w:r>
              <w:t>E</w:t>
            </w:r>
            <w:r w:rsidR="00764613">
              <w:t xml:space="preserve">asy proxy log </w:t>
            </w:r>
            <w:r>
              <w:t>shows</w:t>
            </w:r>
            <w:r w:rsidR="00764613">
              <w:t xml:space="preserve"> the access point to database through the library website. </w:t>
            </w:r>
          </w:p>
          <w:p w:rsidR="009A2971" w:rsidRDefault="009A2971" w:rsidP="003F2098">
            <w:pPr>
              <w:jc w:val="both"/>
            </w:pPr>
          </w:p>
          <w:p w:rsidR="00764613" w:rsidRDefault="009A2971" w:rsidP="003F2098">
            <w:pPr>
              <w:jc w:val="both"/>
            </w:pPr>
            <w:r>
              <w:t>U</w:t>
            </w:r>
            <w:r w:rsidR="00764613">
              <w:t xml:space="preserve">ser ID </w:t>
            </w:r>
            <w:r>
              <w:t xml:space="preserve">is the email address for users </w:t>
            </w:r>
            <w:r w:rsidR="00764613">
              <w:t xml:space="preserve">(will </w:t>
            </w:r>
            <w:r>
              <w:t>be hashed for privacy concerns).</w:t>
            </w:r>
          </w:p>
          <w:p w:rsidR="009A2971" w:rsidRDefault="009A2971" w:rsidP="003F2098">
            <w:pPr>
              <w:jc w:val="both"/>
            </w:pPr>
          </w:p>
          <w:p w:rsidR="009A2971" w:rsidRDefault="009A2971" w:rsidP="003F2098">
            <w:pPr>
              <w:jc w:val="both"/>
            </w:pPr>
            <w:r>
              <w:t>Timestamp: Time and date at the point of access</w:t>
            </w:r>
          </w:p>
          <w:p w:rsidR="009A2971" w:rsidRDefault="009A2971" w:rsidP="003F2098">
            <w:pPr>
              <w:jc w:val="both"/>
            </w:pPr>
          </w:p>
          <w:p w:rsidR="009A2971" w:rsidRDefault="009A2971" w:rsidP="003F2098">
            <w:pPr>
              <w:jc w:val="both"/>
            </w:pPr>
            <w:r>
              <w:t xml:space="preserve">GET request contains information on the user browsing patterns. However, extensive data mining skill will have to be utilized to understand each specific request. </w:t>
            </w:r>
          </w:p>
          <w:p w:rsidR="009A2971" w:rsidRDefault="009A2971" w:rsidP="003F2098">
            <w:pPr>
              <w:jc w:val="both"/>
            </w:pPr>
          </w:p>
          <w:p w:rsidR="009A2971" w:rsidRDefault="009A2971" w:rsidP="003F2098">
            <w:pPr>
              <w:jc w:val="both"/>
            </w:pPr>
            <w:r>
              <w:t>Query shows the search request by users</w:t>
            </w:r>
          </w:p>
          <w:p w:rsidR="009A2971" w:rsidRDefault="009A2971" w:rsidP="003F2098">
            <w:pPr>
              <w:jc w:val="both"/>
            </w:pPr>
          </w:p>
          <w:p w:rsidR="00764613" w:rsidRDefault="009A2971" w:rsidP="003F2098">
            <w:pPr>
              <w:jc w:val="both"/>
            </w:pPr>
            <w:r>
              <w:lastRenderedPageBreak/>
              <w:t xml:space="preserve">Referral page shows the page access before the current page. </w:t>
            </w:r>
          </w:p>
        </w:tc>
        <w:tc>
          <w:tcPr>
            <w:tcW w:w="1442" w:type="dxa"/>
            <w:shd w:val="clear" w:color="auto" w:fill="auto"/>
          </w:tcPr>
          <w:p w:rsidR="00F17DCD" w:rsidRDefault="003F2098" w:rsidP="003F2098">
            <w:pPr>
              <w:jc w:val="both"/>
            </w:pPr>
            <w:r>
              <w:lastRenderedPageBreak/>
              <w:t>To meet up with Pr</w:t>
            </w:r>
            <w:r w:rsidR="009A2971">
              <w:t>o</w:t>
            </w:r>
            <w:r w:rsidR="00810D09">
              <w:t>f on how to perform data mining particularly on GET request</w:t>
            </w:r>
          </w:p>
        </w:tc>
        <w:tc>
          <w:tcPr>
            <w:tcW w:w="1200" w:type="dxa"/>
            <w:shd w:val="clear" w:color="auto" w:fill="auto"/>
          </w:tcPr>
          <w:p w:rsidR="00F17DCD" w:rsidRDefault="00F17DCD"/>
        </w:tc>
      </w:tr>
      <w:tr w:rsidR="009A2971" w:rsidTr="00F918A4">
        <w:tc>
          <w:tcPr>
            <w:tcW w:w="1957" w:type="dxa"/>
            <w:shd w:val="clear" w:color="auto" w:fill="auto"/>
          </w:tcPr>
          <w:p w:rsidR="00F17DCD" w:rsidRDefault="009A2971">
            <w:r>
              <w:t>Discussion on objectives</w:t>
            </w:r>
          </w:p>
        </w:tc>
        <w:tc>
          <w:tcPr>
            <w:tcW w:w="4417" w:type="dxa"/>
            <w:shd w:val="clear" w:color="auto" w:fill="auto"/>
          </w:tcPr>
          <w:p w:rsidR="009A2971" w:rsidRDefault="009A2971" w:rsidP="003F209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T</w:t>
            </w:r>
            <w:r>
              <w:rPr>
                <w:rFonts w:eastAsia="Times New Roman"/>
              </w:rPr>
              <w:t>o analysis the behaviour patterns of users when browsing the database</w:t>
            </w:r>
          </w:p>
          <w:p w:rsidR="009A2971" w:rsidRDefault="009A2971" w:rsidP="003F2098">
            <w:pPr>
              <w:jc w:val="both"/>
              <w:rPr>
                <w:rFonts w:eastAsia="Times New Roman"/>
              </w:rPr>
            </w:pPr>
          </w:p>
          <w:p w:rsidR="009A2971" w:rsidRDefault="009A2971" w:rsidP="003F209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2) </w:t>
            </w:r>
            <w:r>
              <w:rPr>
                <w:rFonts w:eastAsia="Times New Roman"/>
              </w:rPr>
              <w:t>To identify how effective the trigger points are and draw parallels to how efficiently the funds of the library are being utilized</w:t>
            </w:r>
          </w:p>
          <w:p w:rsidR="009A2971" w:rsidRDefault="009A2971" w:rsidP="003F2098">
            <w:pPr>
              <w:jc w:val="both"/>
              <w:rPr>
                <w:rFonts w:eastAsia="Times New Roman"/>
              </w:rPr>
            </w:pPr>
          </w:p>
          <w:p w:rsidR="009A2971" w:rsidRDefault="009A2971" w:rsidP="003F209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3) </w:t>
            </w:r>
            <w:r>
              <w:rPr>
                <w:rFonts w:eastAsia="Times New Roman"/>
              </w:rPr>
              <w:t>To help identify optimal trigger point which will allow the library to maximise its funds allocation to Patron Driven Acquisition</w:t>
            </w:r>
          </w:p>
          <w:p w:rsidR="00F17DCD" w:rsidRDefault="00F17DCD" w:rsidP="009A2971"/>
        </w:tc>
        <w:tc>
          <w:tcPr>
            <w:tcW w:w="1442" w:type="dxa"/>
            <w:shd w:val="clear" w:color="auto" w:fill="auto"/>
          </w:tcPr>
          <w:p w:rsidR="00F17DCD" w:rsidRDefault="009A2971" w:rsidP="003F2098">
            <w:pPr>
              <w:jc w:val="both"/>
            </w:pPr>
            <w:r>
              <w:t>To reaffirm objectives and confirm acceptance with Aaron with an email follow up</w:t>
            </w:r>
          </w:p>
        </w:tc>
        <w:tc>
          <w:tcPr>
            <w:tcW w:w="1200" w:type="dxa"/>
            <w:shd w:val="clear" w:color="auto" w:fill="auto"/>
          </w:tcPr>
          <w:p w:rsidR="00F17DCD" w:rsidRDefault="009A2971">
            <w:r>
              <w:t>12/1/18, 1700H</w:t>
            </w:r>
          </w:p>
        </w:tc>
      </w:tr>
    </w:tbl>
    <w:p w:rsidR="00FE0D0C" w:rsidRDefault="00FE0D0C"/>
    <w:sectPr w:rsidR="00FE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BCF"/>
    <w:multiLevelType w:val="hybridMultilevel"/>
    <w:tmpl w:val="B9D6F316"/>
    <w:lvl w:ilvl="0" w:tplc="ED2C62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802"/>
    <w:multiLevelType w:val="hybridMultilevel"/>
    <w:tmpl w:val="EB3605F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DCB"/>
    <w:multiLevelType w:val="hybridMultilevel"/>
    <w:tmpl w:val="CAE691B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2"/>
    <w:rsid w:val="00095452"/>
    <w:rsid w:val="00184925"/>
    <w:rsid w:val="003F2098"/>
    <w:rsid w:val="004B47D0"/>
    <w:rsid w:val="00703088"/>
    <w:rsid w:val="00764613"/>
    <w:rsid w:val="00810D09"/>
    <w:rsid w:val="00852250"/>
    <w:rsid w:val="00860724"/>
    <w:rsid w:val="009A2971"/>
    <w:rsid w:val="00B67010"/>
    <w:rsid w:val="00B9062B"/>
    <w:rsid w:val="00C60001"/>
    <w:rsid w:val="00D02DB1"/>
    <w:rsid w:val="00D235B9"/>
    <w:rsid w:val="00E77413"/>
    <w:rsid w:val="00F17DCD"/>
    <w:rsid w:val="00F918A4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27FF"/>
  <w15:chartTrackingRefBased/>
  <w15:docId w15:val="{3A5CBC19-917D-4DA7-BCC5-EBA26B7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damiengan</dc:creator>
  <cp:keywords/>
  <dc:description/>
  <cp:lastModifiedBy>damiengan</cp:lastModifiedBy>
  <cp:revision>6</cp:revision>
  <dcterms:created xsi:type="dcterms:W3CDTF">2018-01-12T06:58:00Z</dcterms:created>
  <dcterms:modified xsi:type="dcterms:W3CDTF">2018-01-12T09:56:00Z</dcterms:modified>
</cp:coreProperties>
</file>